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283" w:right="1619" w:firstLine="0"/>
        <w:jc w:val="center"/>
        <w:rPr>
          <w:b/>
          <w:sz w:val="24"/>
        </w:rPr>
      </w:pPr>
      <w:r>
        <w:rPr>
          <w:b/>
          <w:sz w:val="24"/>
        </w:rPr>
        <w:t>VACANCY</w:t>
      </w:r>
      <w:r>
        <w:rPr>
          <w:b/>
          <w:spacing w:val="-4"/>
          <w:sz w:val="24"/>
        </w:rPr>
        <w:t> </w:t>
      </w:r>
      <w:r>
        <w:rPr>
          <w:b/>
          <w:spacing w:val="-2"/>
          <w:sz w:val="24"/>
        </w:rPr>
        <w:t>NOTICE</w:t>
      </w:r>
    </w:p>
    <w:p>
      <w:pPr>
        <w:pStyle w:val="BodyText"/>
        <w:spacing w:before="11"/>
        <w:rPr>
          <w:b/>
          <w:sz w:val="23"/>
        </w:rPr>
      </w:pPr>
    </w:p>
    <w:p>
      <w:pPr>
        <w:spacing w:before="0"/>
        <w:ind w:left="1284" w:right="1619" w:firstLine="0"/>
        <w:jc w:val="center"/>
        <w:rPr>
          <w:b/>
          <w:sz w:val="24"/>
        </w:rPr>
      </w:pPr>
      <w:r>
        <w:rPr>
          <w:b/>
          <w:sz w:val="24"/>
        </w:rPr>
        <w:t>SECONDED</w:t>
      </w:r>
      <w:r>
        <w:rPr>
          <w:b/>
          <w:spacing w:val="-6"/>
          <w:sz w:val="24"/>
        </w:rPr>
        <w:t> </w:t>
      </w:r>
      <w:r>
        <w:rPr>
          <w:b/>
          <w:sz w:val="24"/>
        </w:rPr>
        <w:t>NATIONAL</w:t>
      </w:r>
      <w:r>
        <w:rPr>
          <w:b/>
          <w:spacing w:val="-4"/>
          <w:sz w:val="24"/>
        </w:rPr>
        <w:t> </w:t>
      </w:r>
      <w:r>
        <w:rPr>
          <w:b/>
          <w:sz w:val="24"/>
        </w:rPr>
        <w:t>EXPERT</w:t>
      </w:r>
      <w:r>
        <w:rPr>
          <w:b/>
          <w:spacing w:val="-3"/>
          <w:sz w:val="24"/>
        </w:rPr>
        <w:t> </w:t>
      </w:r>
      <w:r>
        <w:rPr>
          <w:b/>
          <w:sz w:val="24"/>
        </w:rPr>
        <w:t>TO</w:t>
      </w:r>
      <w:r>
        <w:rPr>
          <w:b/>
          <w:spacing w:val="-3"/>
          <w:sz w:val="24"/>
        </w:rPr>
        <w:t> </w:t>
      </w:r>
      <w:r>
        <w:rPr>
          <w:b/>
          <w:sz w:val="24"/>
        </w:rPr>
        <w:t>THE</w:t>
      </w:r>
      <w:r>
        <w:rPr>
          <w:b/>
          <w:spacing w:val="-3"/>
          <w:sz w:val="24"/>
        </w:rPr>
        <w:t> </w:t>
      </w:r>
      <w:r>
        <w:rPr>
          <w:b/>
          <w:sz w:val="24"/>
        </w:rPr>
        <w:t>EUROPEAN</w:t>
      </w:r>
      <w:r>
        <w:rPr>
          <w:b/>
          <w:spacing w:val="-3"/>
          <w:sz w:val="24"/>
        </w:rPr>
        <w:t> </w:t>
      </w:r>
      <w:r>
        <w:rPr>
          <w:b/>
          <w:spacing w:val="-2"/>
          <w:sz w:val="24"/>
        </w:rPr>
        <w:t>COMMISSION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rPr>
                <w:b/>
                <w:sz w:val="24"/>
              </w:rPr>
            </w:pPr>
            <w:r>
              <w:rPr>
                <w:b/>
                <w:sz w:val="24"/>
              </w:rPr>
              <w:t>Post</w:t>
            </w:r>
            <w:r>
              <w:rPr>
                <w:b/>
                <w:spacing w:val="-3"/>
                <w:sz w:val="24"/>
              </w:rPr>
              <w:t> </w:t>
            </w:r>
            <w:r>
              <w:rPr>
                <w:b/>
                <w:spacing w:val="-2"/>
                <w:sz w:val="24"/>
              </w:rPr>
              <w:t>identification:</w:t>
            </w:r>
          </w:p>
          <w:p>
            <w:pPr>
              <w:pStyle w:val="TableParagraph"/>
              <w:rPr>
                <w:sz w:val="24"/>
              </w:rPr>
            </w:pPr>
            <w:r>
              <w:rPr>
                <w:spacing w:val="-2"/>
                <w:sz w:val="24"/>
              </w:rPr>
              <w:t>(DG-DIR-</w:t>
            </w:r>
            <w:r>
              <w:rPr>
                <w:spacing w:val="-4"/>
                <w:sz w:val="24"/>
              </w:rPr>
              <w:t>UNIT)</w:t>
            </w:r>
          </w:p>
        </w:tc>
        <w:tc>
          <w:tcPr>
            <w:tcW w:w="5597" w:type="dxa"/>
          </w:tcPr>
          <w:p>
            <w:pPr>
              <w:pStyle w:val="TableParagraph"/>
              <w:spacing w:before="168"/>
              <w:rPr>
                <w:sz w:val="24"/>
              </w:rPr>
            </w:pPr>
            <w:r>
              <w:rPr>
                <w:sz w:val="24"/>
              </w:rPr>
              <w:t>DG</w:t>
            </w:r>
            <w:r>
              <w:rPr>
                <w:spacing w:val="-3"/>
                <w:sz w:val="24"/>
              </w:rPr>
              <w:t> </w:t>
            </w:r>
            <w:r>
              <w:rPr>
                <w:sz w:val="24"/>
              </w:rPr>
              <w:t>GROW </w:t>
            </w:r>
            <w:r>
              <w:rPr>
                <w:spacing w:val="-5"/>
                <w:sz w:val="24"/>
              </w:rPr>
              <w:t>D1</w:t>
            </w:r>
          </w:p>
        </w:tc>
      </w:tr>
      <w:tr>
        <w:trPr>
          <w:trHeight w:val="1977" w:hRule="atLeast"/>
        </w:trPr>
        <w:tc>
          <w:tcPr>
            <w:tcW w:w="4360" w:type="dxa"/>
            <w:vMerge w:val="restart"/>
          </w:tcPr>
          <w:p>
            <w:pPr>
              <w:pStyle w:val="TableParagraph"/>
              <w:spacing w:line="252" w:lineRule="exact" w:before="1"/>
              <w:rPr>
                <w:b/>
                <w:sz w:val="22"/>
              </w:rPr>
            </w:pPr>
            <w:r>
              <w:rPr>
                <w:b/>
                <w:sz w:val="22"/>
              </w:rPr>
              <w:t>Head</w:t>
            </w:r>
            <w:r>
              <w:rPr>
                <w:b/>
                <w:spacing w:val="-5"/>
                <w:sz w:val="22"/>
              </w:rPr>
              <w:t> </w:t>
            </w:r>
            <w:r>
              <w:rPr>
                <w:b/>
                <w:sz w:val="22"/>
              </w:rPr>
              <w:t>of</w:t>
            </w:r>
            <w:r>
              <w:rPr>
                <w:b/>
                <w:spacing w:val="-4"/>
                <w:sz w:val="22"/>
              </w:rPr>
              <w:t> </w:t>
            </w:r>
            <w:r>
              <w:rPr>
                <w:b/>
                <w:spacing w:val="-2"/>
                <w:sz w:val="22"/>
              </w:rPr>
              <w:t>Unit:</w:t>
            </w:r>
          </w:p>
          <w:p>
            <w:pPr>
              <w:pStyle w:val="TableParagraph"/>
              <w:ind w:right="2825"/>
              <w:rPr>
                <w:b/>
                <w:sz w:val="22"/>
              </w:rPr>
            </w:pPr>
            <w:r>
              <w:rPr>
                <w:b/>
                <w:sz w:val="22"/>
              </w:rPr>
              <w:t>Email</w:t>
            </w:r>
            <w:r>
              <w:rPr>
                <w:b/>
                <w:spacing w:val="-14"/>
                <w:sz w:val="22"/>
              </w:rPr>
              <w:t> </w:t>
            </w:r>
            <w:r>
              <w:rPr>
                <w:b/>
                <w:sz w:val="22"/>
              </w:rPr>
              <w:t>address: </w:t>
            </w:r>
            <w:r>
              <w:rPr>
                <w:b/>
                <w:spacing w:val="-2"/>
                <w:sz w:val="22"/>
              </w:rPr>
              <w:t>Telephone:</w:t>
            </w:r>
          </w:p>
          <w:p>
            <w:pPr>
              <w:pStyle w:val="TableParagraph"/>
              <w:ind w:right="1276"/>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3"/>
                <w:sz w:val="22"/>
              </w:rPr>
              <w:t> </w:t>
            </w:r>
            <w:r>
              <w:rPr>
                <w:b/>
                <w:sz w:val="22"/>
              </w:rPr>
              <w:t>posts: Suggested taking up duty: Suggested</w:t>
            </w:r>
            <w:r>
              <w:rPr>
                <w:b/>
                <w:spacing w:val="-4"/>
                <w:sz w:val="22"/>
              </w:rPr>
              <w:t> </w:t>
            </w:r>
            <w:r>
              <w:rPr>
                <w:b/>
                <w:sz w:val="22"/>
              </w:rPr>
              <w:t>initial</w:t>
            </w:r>
            <w:r>
              <w:rPr>
                <w:b/>
                <w:spacing w:val="-4"/>
                <w:sz w:val="22"/>
              </w:rPr>
              <w:t> </w:t>
            </w:r>
            <w:r>
              <w:rPr>
                <w:b/>
                <w:sz w:val="22"/>
              </w:rPr>
              <w:t>duration: Place of secondment:</w:t>
            </w:r>
          </w:p>
        </w:tc>
        <w:tc>
          <w:tcPr>
            <w:tcW w:w="5597" w:type="dxa"/>
          </w:tcPr>
          <w:p>
            <w:pPr>
              <w:pStyle w:val="TableParagraph"/>
              <w:spacing w:before="1"/>
              <w:ind w:right="396"/>
              <w:rPr>
                <w:sz w:val="24"/>
              </w:rPr>
            </w:pPr>
            <w:r>
              <w:rPr>
                <w:sz w:val="24"/>
              </w:rPr>
              <w:t>Henning Ehrenstein </w:t>
            </w:r>
            <w:hyperlink r:id="rId7">
              <w:r>
                <w:rPr>
                  <w:spacing w:val="-2"/>
                  <w:sz w:val="24"/>
                </w:rPr>
                <w:t>henning.ehrenstein@ec.europa.eu</w:t>
              </w:r>
            </w:hyperlink>
          </w:p>
          <w:p>
            <w:pPr>
              <w:pStyle w:val="TableParagraph"/>
              <w:rPr>
                <w:sz w:val="24"/>
              </w:rPr>
            </w:pPr>
            <w:r>
              <w:rPr>
                <w:sz w:val="24"/>
              </w:rPr>
              <w:t>+32 229 </w:t>
            </w:r>
            <w:r>
              <w:rPr>
                <w:spacing w:val="-2"/>
                <w:sz w:val="24"/>
              </w:rPr>
              <w:t>80393</w:t>
            </w:r>
          </w:p>
          <w:p>
            <w:pPr>
              <w:pStyle w:val="TableParagraph"/>
              <w:spacing w:line="275" w:lineRule="exact"/>
              <w:rPr>
                <w:sz w:val="24"/>
              </w:rPr>
            </w:pPr>
            <w:r>
              <w:rPr>
                <w:sz w:val="24"/>
              </w:rPr>
              <w:t>1</w:t>
            </w:r>
          </w:p>
          <w:p>
            <w:pPr>
              <w:pStyle w:val="TableParagraph"/>
              <w:spacing w:line="252" w:lineRule="exact"/>
              <w:rPr>
                <w:b/>
                <w:sz w:val="22"/>
              </w:rPr>
            </w:pPr>
            <w:r>
              <w:rPr>
                <w:b/>
                <w:sz w:val="22"/>
              </w:rPr>
              <w:t>Fourth</w:t>
            </w:r>
            <w:r>
              <w:rPr>
                <w:b/>
                <w:spacing w:val="-8"/>
                <w:sz w:val="22"/>
              </w:rPr>
              <w:t> </w:t>
            </w:r>
            <w:r>
              <w:rPr>
                <w:b/>
                <w:sz w:val="22"/>
              </w:rPr>
              <w:t>quarter</w:t>
            </w:r>
            <w:r>
              <w:rPr>
                <w:b/>
                <w:spacing w:val="-8"/>
                <w:sz w:val="22"/>
              </w:rPr>
              <w:t> </w:t>
            </w:r>
            <w:r>
              <w:rPr>
                <w:b/>
                <w:sz w:val="22"/>
              </w:rPr>
              <w:t>2023</w:t>
            </w:r>
            <w:r>
              <w:rPr>
                <w:b/>
                <w:spacing w:val="-7"/>
                <w:sz w:val="22"/>
              </w:rPr>
              <w:t> </w:t>
            </w:r>
            <w:r>
              <w:rPr>
                <w:b/>
                <w:spacing w:val="-10"/>
                <w:sz w:val="22"/>
                <w:vertAlign w:val="superscript"/>
              </w:rPr>
              <w:t>1</w:t>
            </w:r>
          </w:p>
          <w:p>
            <w:pPr>
              <w:pStyle w:val="TableParagraph"/>
              <w:rPr>
                <w:b/>
                <w:sz w:val="22"/>
              </w:rPr>
            </w:pPr>
            <w:r>
              <w:rPr>
                <w:b/>
                <w:sz w:val="22"/>
              </w:rPr>
              <w:t>2</w:t>
            </w:r>
            <w:r>
              <w:rPr>
                <w:b/>
                <w:spacing w:val="-2"/>
                <w:sz w:val="22"/>
              </w:rPr>
              <w:t> year(s</w:t>
            </w:r>
            <w:r>
              <w:rPr>
                <w:b/>
                <w:spacing w:val="-2"/>
                <w:sz w:val="22"/>
                <w:vertAlign w:val="superscript"/>
              </w:rPr>
              <w:t>)1</w:t>
            </w:r>
          </w:p>
          <w:p>
            <w:pPr>
              <w:pStyle w:val="TableParagraph"/>
              <w:spacing w:before="1"/>
              <w:rPr>
                <w:b/>
                <w:sz w:val="22"/>
              </w:rPr>
            </w:pPr>
            <w:r>
              <w:rPr>
                <w:rFonts w:ascii="Wingdings 2" w:hAnsi="Wingdings 2"/>
                <w:sz w:val="22"/>
              </w:rPr>
              <w:t></w:t>
            </w:r>
            <w:r>
              <w:rPr>
                <w:spacing w:val="-6"/>
                <w:sz w:val="22"/>
              </w:rPr>
              <w:t> </w:t>
            </w:r>
            <w:r>
              <w:rPr>
                <w:b/>
                <w:sz w:val="22"/>
              </w:rPr>
              <w:t>Brussels</w:t>
            </w:r>
            <w:r>
              <w:rPr>
                <w:b/>
                <w:spacing w:val="46"/>
                <w:sz w:val="22"/>
              </w:rPr>
              <w:t> </w:t>
            </w:r>
            <w:r>
              <w:rPr>
                <w:rFonts w:ascii="Wingdings 2" w:hAnsi="Wingdings 2"/>
                <w:sz w:val="22"/>
              </w:rPr>
              <w:t></w:t>
            </w:r>
            <w:r>
              <w:rPr>
                <w:spacing w:val="-5"/>
                <w:sz w:val="22"/>
              </w:rPr>
              <w:t> </w:t>
            </w:r>
            <w:r>
              <w:rPr>
                <w:b/>
                <w:sz w:val="22"/>
              </w:rPr>
              <w:t>Luxemburg</w:t>
            </w:r>
            <w:r>
              <w:rPr>
                <w:b/>
                <w:spacing w:val="45"/>
                <w:sz w:val="22"/>
              </w:rPr>
              <w:t> </w:t>
            </w:r>
            <w:r>
              <w:rPr>
                <w:rFonts w:ascii="Wingdings 2" w:hAnsi="Wingdings 2"/>
                <w:sz w:val="22"/>
              </w:rPr>
              <w:t></w:t>
            </w:r>
            <w:r>
              <w:rPr>
                <w:spacing w:val="-5"/>
                <w:sz w:val="22"/>
              </w:rPr>
              <w:t> </w:t>
            </w:r>
            <w:r>
              <w:rPr>
                <w:b/>
                <w:sz w:val="22"/>
              </w:rPr>
              <w:t>Other:</w:t>
            </w:r>
            <w:r>
              <w:rPr>
                <w:b/>
                <w:spacing w:val="-5"/>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2729" w:val="left" w:leader="none"/>
              </w:tabs>
              <w:spacing w:before="146"/>
              <w:rPr>
                <w:b/>
                <w:sz w:val="22"/>
              </w:rPr>
            </w:pPr>
            <w:r>
              <w:rPr>
                <w:rFonts w:ascii="Wingdings 2" w:hAnsi="Wingdings 2"/>
                <w:b/>
                <w:sz w:val="22"/>
              </w:rPr>
              <w:t></w:t>
            </w:r>
            <w:r>
              <w:rPr>
                <w:spacing w:val="-3"/>
                <w:sz w:val="22"/>
              </w:rPr>
              <w:t> </w:t>
            </w:r>
            <w:r>
              <w:rPr>
                <w:b/>
                <w:sz w:val="22"/>
              </w:rPr>
              <w:t>With</w:t>
            </w:r>
            <w:r>
              <w:rPr>
                <w:b/>
                <w:spacing w:val="-3"/>
                <w:sz w:val="22"/>
              </w:rPr>
              <w:t> </w:t>
            </w:r>
            <w:r>
              <w:rPr>
                <w:b/>
                <w:spacing w:val="-2"/>
                <w:sz w:val="22"/>
              </w:rPr>
              <w:t>allowances</w:t>
            </w:r>
            <w:r>
              <w:rPr>
                <w:b/>
                <w:sz w:val="22"/>
              </w:rPr>
              <w:tab/>
            </w:r>
            <w:r>
              <w:rPr>
                <w:rFonts w:ascii="Wingdings 2" w:hAnsi="Wingdings 2"/>
                <w:sz w:val="22"/>
              </w:rPr>
              <w:t></w:t>
            </w:r>
            <w:r>
              <w:rPr>
                <w:spacing w:val="-8"/>
                <w:sz w:val="22"/>
              </w:rPr>
              <w:t> </w:t>
            </w:r>
            <w:r>
              <w:rPr>
                <w:b/>
                <w:sz w:val="22"/>
              </w:rPr>
              <w:t>Cost-</w:t>
            </w:r>
            <w:r>
              <w:rPr>
                <w:b/>
                <w:spacing w:val="-4"/>
                <w:sz w:val="22"/>
              </w:rPr>
              <w:t>free</w:t>
            </w:r>
          </w:p>
        </w:tc>
      </w:tr>
      <w:tr>
        <w:trPr>
          <w:trHeight w:val="2111" w:hRule="atLeast"/>
        </w:trPr>
        <w:tc>
          <w:tcPr>
            <w:tcW w:w="9957" w:type="dxa"/>
            <w:gridSpan w:val="2"/>
          </w:tcPr>
          <w:p>
            <w:pPr>
              <w:pStyle w:val="TableParagraph"/>
              <w:spacing w:before="112"/>
              <w:rPr>
                <w:b/>
                <w:sz w:val="22"/>
              </w:rPr>
            </w:pPr>
            <w:r>
              <w:rPr>
                <w:b/>
                <w:sz w:val="22"/>
              </w:rPr>
              <w:t>This</w:t>
            </w:r>
            <w:r>
              <w:rPr>
                <w:b/>
                <w:spacing w:val="-7"/>
                <w:sz w:val="22"/>
              </w:rPr>
              <w:t> </w:t>
            </w:r>
            <w:r>
              <w:rPr>
                <w:b/>
                <w:sz w:val="22"/>
              </w:rPr>
              <w:t>vacancy</w:t>
            </w:r>
            <w:r>
              <w:rPr>
                <w:b/>
                <w:spacing w:val="-6"/>
                <w:sz w:val="22"/>
              </w:rPr>
              <w:t> </w:t>
            </w:r>
            <w:r>
              <w:rPr>
                <w:b/>
                <w:sz w:val="22"/>
              </w:rPr>
              <w:t>notice</w:t>
            </w:r>
            <w:r>
              <w:rPr>
                <w:b/>
                <w:spacing w:val="-7"/>
                <w:sz w:val="22"/>
              </w:rPr>
              <w:t> </w:t>
            </w:r>
            <w:r>
              <w:rPr>
                <w:b/>
                <w:sz w:val="22"/>
              </w:rPr>
              <w:t>is</w:t>
            </w:r>
            <w:r>
              <w:rPr>
                <w:b/>
                <w:spacing w:val="-7"/>
                <w:sz w:val="22"/>
              </w:rPr>
              <w:t> </w:t>
            </w:r>
            <w:r>
              <w:rPr>
                <w:b/>
                <w:sz w:val="22"/>
              </w:rPr>
              <w:t>also</w:t>
            </w:r>
            <w:r>
              <w:rPr>
                <w:b/>
                <w:spacing w:val="-6"/>
                <w:sz w:val="22"/>
              </w:rPr>
              <w:t> </w:t>
            </w:r>
            <w:r>
              <w:rPr>
                <w:b/>
                <w:sz w:val="22"/>
              </w:rPr>
              <w:t>open</w:t>
            </w:r>
            <w:r>
              <w:rPr>
                <w:b/>
                <w:spacing w:val="-6"/>
                <w:sz w:val="22"/>
              </w:rPr>
              <w:t> </w:t>
            </w:r>
            <w:r>
              <w:rPr>
                <w:b/>
                <w:spacing w:val="-5"/>
                <w:sz w:val="22"/>
              </w:rPr>
              <w:t>to</w:t>
            </w:r>
          </w:p>
          <w:p>
            <w:pPr>
              <w:pStyle w:val="TableParagraph"/>
              <w:spacing w:before="1"/>
              <w:ind w:left="0"/>
              <w:rPr>
                <w:b/>
                <w:sz w:val="22"/>
              </w:rPr>
            </w:pP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3"/>
                <w:sz w:val="24"/>
              </w:rPr>
              <w:t> </w:t>
            </w:r>
            <w:r>
              <w:rPr>
                <w:b/>
                <w:sz w:val="24"/>
              </w:rPr>
              <w:t>following</w:t>
            </w:r>
            <w:r>
              <w:rPr>
                <w:b/>
                <w:spacing w:val="-3"/>
                <w:sz w:val="24"/>
              </w:rPr>
              <w:t> </w:t>
            </w:r>
            <w:r>
              <w:rPr>
                <w:b/>
                <w:sz w:val="24"/>
              </w:rPr>
              <w:t>EFTA</w:t>
            </w:r>
            <w:r>
              <w:rPr>
                <w:b/>
                <w:spacing w:val="-2"/>
                <w:sz w:val="24"/>
              </w:rPr>
              <w:t> </w:t>
            </w:r>
            <w:r>
              <w:rPr>
                <w:b/>
                <w:sz w:val="24"/>
              </w:rPr>
              <w:t>countries</w:t>
            </w:r>
            <w:r>
              <w:rPr>
                <w:b/>
                <w:spacing w:val="-3"/>
                <w:sz w:val="24"/>
              </w:rPr>
              <w:t> </w:t>
            </w:r>
            <w:r>
              <w:rPr>
                <w:b/>
                <w:spacing w:val="-10"/>
                <w:sz w:val="24"/>
              </w:rPr>
              <w:t>:</w:t>
            </w:r>
          </w:p>
          <w:p>
            <w:pPr>
              <w:pStyle w:val="TableParagraph"/>
              <w:numPr>
                <w:ilvl w:val="1"/>
                <w:numId w:val="1"/>
              </w:numPr>
              <w:tabs>
                <w:tab w:pos="1091" w:val="left" w:leader="none"/>
              </w:tabs>
              <w:spacing w:line="240" w:lineRule="auto" w:before="0" w:after="0"/>
              <w:ind w:left="1090" w:right="0" w:hanging="276"/>
              <w:jc w:val="left"/>
              <w:rPr>
                <w:b/>
                <w:sz w:val="24"/>
              </w:rPr>
            </w:pPr>
            <w:r>
              <w:rPr>
                <w:b/>
                <w:sz w:val="24"/>
              </w:rPr>
              <w:t>Iceland</w:t>
            </w:r>
            <w:r>
              <w:rPr>
                <w:b/>
                <w:spacing w:val="55"/>
                <w:sz w:val="24"/>
              </w:rPr>
              <w:t> </w:t>
            </w:r>
            <w:r>
              <w:rPr>
                <w:rFonts w:ascii="Wingdings 2" w:hAnsi="Wingdings 2"/>
                <w:b/>
                <w:sz w:val="24"/>
              </w:rPr>
              <w:t></w:t>
            </w:r>
            <w:r>
              <w:rPr>
                <w:spacing w:val="-1"/>
                <w:sz w:val="24"/>
              </w:rPr>
              <w:t> </w:t>
            </w:r>
            <w:r>
              <w:rPr>
                <w:b/>
                <w:sz w:val="24"/>
              </w:rPr>
              <w:t>Liechtenstein</w:t>
            </w:r>
            <w:r>
              <w:rPr>
                <w:b/>
                <w:spacing w:val="55"/>
                <w:sz w:val="24"/>
              </w:rPr>
              <w:t> </w:t>
            </w:r>
            <w:r>
              <w:rPr>
                <w:rFonts w:ascii="Wingdings 2" w:hAnsi="Wingdings 2"/>
                <w:b/>
                <w:sz w:val="24"/>
              </w:rPr>
              <w:t></w:t>
            </w:r>
            <w:r>
              <w:rPr>
                <w:spacing w:val="-2"/>
                <w:sz w:val="24"/>
              </w:rPr>
              <w:t> </w:t>
            </w:r>
            <w:r>
              <w:rPr>
                <w:b/>
                <w:sz w:val="24"/>
              </w:rPr>
              <w:t>Norway</w:t>
            </w:r>
            <w:r>
              <w:rPr>
                <w:b/>
                <w:spacing w:val="57"/>
                <w:sz w:val="24"/>
              </w:rPr>
              <w:t> </w:t>
            </w:r>
            <w:r>
              <w:rPr>
                <w:rFonts w:ascii="Wingdings 2" w:hAnsi="Wingdings 2"/>
                <w:b/>
                <w:sz w:val="24"/>
              </w:rPr>
              <w:t></w:t>
            </w:r>
            <w:r>
              <w:rPr>
                <w:spacing w:val="-2"/>
                <w:sz w:val="24"/>
              </w:rPr>
              <w:t> </w:t>
            </w:r>
            <w:r>
              <w:rPr>
                <w:b/>
                <w:spacing w:val="-2"/>
                <w:sz w:val="24"/>
              </w:rPr>
              <w:t>Switzerland</w:t>
            </w:r>
          </w:p>
          <w:p>
            <w:pPr>
              <w:pStyle w:val="TableParagraph"/>
              <w:numPr>
                <w:ilvl w:val="1"/>
                <w:numId w:val="1"/>
              </w:numPr>
              <w:tabs>
                <w:tab w:pos="1091" w:val="left" w:leader="none"/>
              </w:tabs>
              <w:spacing w:line="240" w:lineRule="auto" w:before="0" w:after="0"/>
              <w:ind w:left="1090" w:right="0" w:hanging="276"/>
              <w:jc w:val="left"/>
              <w:rPr>
                <w:b/>
                <w:sz w:val="24"/>
              </w:rPr>
            </w:pPr>
            <w:r>
              <w:rPr>
                <w:b/>
                <w:sz w:val="24"/>
              </w:rPr>
              <w:t>EFTA-EEA</w:t>
            </w:r>
            <w:r>
              <w:rPr>
                <w:b/>
                <w:spacing w:val="-7"/>
                <w:sz w:val="24"/>
              </w:rPr>
              <w:t> </w:t>
            </w:r>
            <w:r>
              <w:rPr>
                <w:b/>
                <w:sz w:val="24"/>
              </w:rPr>
              <w:t>In-Kind</w:t>
            </w:r>
            <w:r>
              <w:rPr>
                <w:b/>
                <w:spacing w:val="-4"/>
                <w:sz w:val="24"/>
              </w:rPr>
              <w:t> </w:t>
            </w:r>
            <w:r>
              <w:rPr>
                <w:b/>
                <w:sz w:val="24"/>
              </w:rPr>
              <w:t>agreement</w:t>
            </w:r>
            <w:r>
              <w:rPr>
                <w:b/>
                <w:spacing w:val="-5"/>
                <w:sz w:val="24"/>
              </w:rPr>
              <w:t> </w:t>
            </w:r>
            <w:r>
              <w:rPr>
                <w:b/>
                <w:sz w:val="24"/>
              </w:rPr>
              <w:t>(Iceland,</w:t>
            </w:r>
            <w:r>
              <w:rPr>
                <w:b/>
                <w:spacing w:val="-3"/>
                <w:sz w:val="24"/>
              </w:rPr>
              <w:t> </w:t>
            </w:r>
            <w:r>
              <w:rPr>
                <w:b/>
                <w:sz w:val="24"/>
              </w:rPr>
              <w:t>Liechtenstein,</w:t>
            </w:r>
            <w:r>
              <w:rPr>
                <w:b/>
                <w:spacing w:val="-5"/>
                <w:sz w:val="24"/>
              </w:rPr>
              <w:t> </w:t>
            </w:r>
            <w:r>
              <w:rPr>
                <w:b/>
                <w:spacing w:val="-2"/>
                <w:sz w:val="24"/>
              </w:rPr>
              <w:t>Norway)</w:t>
            </w: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3"/>
                <w:sz w:val="24"/>
              </w:rPr>
              <w:t> </w:t>
            </w:r>
            <w:r>
              <w:rPr>
                <w:b/>
                <w:sz w:val="24"/>
              </w:rPr>
              <w:t>following</w:t>
            </w:r>
            <w:r>
              <w:rPr>
                <w:b/>
                <w:spacing w:val="-2"/>
                <w:sz w:val="24"/>
              </w:rPr>
              <w:t> </w:t>
            </w:r>
            <w:r>
              <w:rPr>
                <w:b/>
                <w:sz w:val="24"/>
              </w:rPr>
              <w:t>third</w:t>
            </w:r>
            <w:r>
              <w:rPr>
                <w:b/>
                <w:spacing w:val="-2"/>
                <w:sz w:val="24"/>
              </w:rPr>
              <w:t> countries:</w:t>
            </w: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3"/>
                <w:sz w:val="24"/>
              </w:rPr>
              <w:t> </w:t>
            </w:r>
            <w:r>
              <w:rPr>
                <w:b/>
                <w:sz w:val="24"/>
              </w:rPr>
              <w:t>intergovernmental</w:t>
            </w:r>
            <w:r>
              <w:rPr>
                <w:b/>
                <w:spacing w:val="-3"/>
                <w:sz w:val="24"/>
              </w:rPr>
              <w:t> </w:t>
            </w:r>
            <w:r>
              <w:rPr>
                <w:b/>
                <w:spacing w:val="-2"/>
                <w:sz w:val="24"/>
              </w:rPr>
              <w:t>organisations:</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4"/>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4"/>
          <w:sz w:val="24"/>
          <w:u w:val="single"/>
        </w:rPr>
        <w:t>tasks</w:t>
      </w:r>
    </w:p>
    <w:p>
      <w:pPr>
        <w:pStyle w:val="BodyText"/>
        <w:spacing w:before="10"/>
        <w:rPr>
          <w:b/>
          <w:sz w:val="15"/>
        </w:rPr>
      </w:pPr>
    </w:p>
    <w:p>
      <w:pPr>
        <w:spacing w:before="94"/>
        <w:ind w:left="370" w:right="156" w:firstLine="0"/>
        <w:jc w:val="left"/>
        <w:rPr>
          <w:rFonts w:ascii="Arial"/>
          <w:sz w:val="20"/>
        </w:rPr>
      </w:pPr>
      <w:r>
        <w:rPr>
          <w:rFonts w:ascii="Arial"/>
          <w:sz w:val="20"/>
        </w:rPr>
        <w:t>We are the 'Skills, Services and Professions' Unit of DG GROW, responsible for developing EU policy on the services</w:t>
      </w:r>
      <w:r>
        <w:rPr>
          <w:rFonts w:ascii="Arial"/>
          <w:spacing w:val="-2"/>
          <w:sz w:val="20"/>
        </w:rPr>
        <w:t> </w:t>
      </w:r>
      <w:r>
        <w:rPr>
          <w:rFonts w:ascii="Arial"/>
          <w:sz w:val="20"/>
        </w:rPr>
        <w:t>single</w:t>
      </w:r>
      <w:r>
        <w:rPr>
          <w:rFonts w:ascii="Arial"/>
          <w:spacing w:val="-3"/>
          <w:sz w:val="20"/>
        </w:rPr>
        <w:t> </w:t>
      </w:r>
      <w:r>
        <w:rPr>
          <w:rFonts w:ascii="Arial"/>
          <w:sz w:val="20"/>
        </w:rPr>
        <w:t>market.</w:t>
      </w:r>
      <w:r>
        <w:rPr>
          <w:rFonts w:ascii="Arial"/>
          <w:spacing w:val="-3"/>
          <w:sz w:val="20"/>
        </w:rPr>
        <w:t> </w:t>
      </w:r>
      <w:r>
        <w:rPr>
          <w:rFonts w:ascii="Arial"/>
          <w:sz w:val="20"/>
        </w:rPr>
        <w:t>Our</w:t>
      </w:r>
      <w:r>
        <w:rPr>
          <w:rFonts w:ascii="Arial"/>
          <w:spacing w:val="-4"/>
          <w:sz w:val="20"/>
        </w:rPr>
        <w:t> </w:t>
      </w:r>
      <w:r>
        <w:rPr>
          <w:rFonts w:ascii="Arial"/>
          <w:sz w:val="20"/>
        </w:rPr>
        <w:t>goal</w:t>
      </w:r>
      <w:r>
        <w:rPr>
          <w:rFonts w:ascii="Arial"/>
          <w:spacing w:val="-3"/>
          <w:sz w:val="20"/>
        </w:rPr>
        <w:t> </w:t>
      </w:r>
      <w:r>
        <w:rPr>
          <w:rFonts w:ascii="Arial"/>
          <w:sz w:val="20"/>
        </w:rPr>
        <w:t>is</w:t>
      </w:r>
      <w:r>
        <w:rPr>
          <w:rFonts w:ascii="Arial"/>
          <w:spacing w:val="-2"/>
          <w:sz w:val="20"/>
        </w:rPr>
        <w:t> </w:t>
      </w:r>
      <w:r>
        <w:rPr>
          <w:rFonts w:ascii="Arial"/>
          <w:sz w:val="20"/>
        </w:rPr>
        <w:t>to</w:t>
      </w:r>
      <w:r>
        <w:rPr>
          <w:rFonts w:ascii="Arial"/>
          <w:spacing w:val="-3"/>
          <w:sz w:val="20"/>
        </w:rPr>
        <w:t> </w:t>
      </w:r>
      <w:r>
        <w:rPr>
          <w:rFonts w:ascii="Arial"/>
          <w:sz w:val="20"/>
        </w:rPr>
        <w:t>create</w:t>
      </w:r>
      <w:r>
        <w:rPr>
          <w:rFonts w:ascii="Arial"/>
          <w:spacing w:val="-3"/>
          <w:sz w:val="20"/>
        </w:rPr>
        <w:t> </w:t>
      </w:r>
      <w:r>
        <w:rPr>
          <w:rFonts w:ascii="Arial"/>
          <w:sz w:val="20"/>
        </w:rPr>
        <w:t>favorable</w:t>
      </w:r>
      <w:r>
        <w:rPr>
          <w:rFonts w:ascii="Arial"/>
          <w:spacing w:val="-4"/>
          <w:sz w:val="20"/>
        </w:rPr>
        <w:t> </w:t>
      </w:r>
      <w:r>
        <w:rPr>
          <w:rFonts w:ascii="Arial"/>
          <w:sz w:val="20"/>
        </w:rPr>
        <w:t>conditions</w:t>
      </w:r>
      <w:r>
        <w:rPr>
          <w:rFonts w:ascii="Arial"/>
          <w:spacing w:val="-2"/>
          <w:sz w:val="20"/>
        </w:rPr>
        <w:t> </w:t>
      </w:r>
      <w:r>
        <w:rPr>
          <w:rFonts w:ascii="Arial"/>
          <w:sz w:val="20"/>
        </w:rPr>
        <w:t>for</w:t>
      </w:r>
      <w:r>
        <w:rPr>
          <w:rFonts w:ascii="Arial"/>
          <w:spacing w:val="-4"/>
          <w:sz w:val="20"/>
        </w:rPr>
        <w:t> </w:t>
      </w:r>
      <w:r>
        <w:rPr>
          <w:rFonts w:ascii="Arial"/>
          <w:sz w:val="20"/>
        </w:rPr>
        <w:t>businesses</w:t>
      </w:r>
      <w:r>
        <w:rPr>
          <w:rFonts w:ascii="Arial"/>
          <w:spacing w:val="-2"/>
          <w:sz w:val="20"/>
        </w:rPr>
        <w:t> </w:t>
      </w:r>
      <w:r>
        <w:rPr>
          <w:rFonts w:ascii="Arial"/>
          <w:sz w:val="20"/>
        </w:rPr>
        <w:t>to</w:t>
      </w:r>
      <w:r>
        <w:rPr>
          <w:rFonts w:ascii="Arial"/>
          <w:spacing w:val="-3"/>
          <w:sz w:val="20"/>
        </w:rPr>
        <w:t> </w:t>
      </w:r>
      <w:r>
        <w:rPr>
          <w:rFonts w:ascii="Arial"/>
          <w:sz w:val="20"/>
        </w:rPr>
        <w:t>provide</w:t>
      </w:r>
      <w:r>
        <w:rPr>
          <w:rFonts w:ascii="Arial"/>
          <w:spacing w:val="-4"/>
          <w:sz w:val="20"/>
        </w:rPr>
        <w:t> </w:t>
      </w:r>
      <w:r>
        <w:rPr>
          <w:rFonts w:ascii="Arial"/>
          <w:sz w:val="20"/>
        </w:rPr>
        <w:t>services</w:t>
      </w:r>
      <w:r>
        <w:rPr>
          <w:rFonts w:ascii="Arial"/>
          <w:spacing w:val="-2"/>
          <w:sz w:val="20"/>
        </w:rPr>
        <w:t> </w:t>
      </w:r>
      <w:r>
        <w:rPr>
          <w:rFonts w:ascii="Arial"/>
          <w:sz w:val="20"/>
        </w:rPr>
        <w:t>in</w:t>
      </w:r>
      <w:r>
        <w:rPr>
          <w:rFonts w:ascii="Arial"/>
          <w:spacing w:val="-3"/>
          <w:sz w:val="20"/>
        </w:rPr>
        <w:t> </w:t>
      </w:r>
      <w:r>
        <w:rPr>
          <w:rFonts w:ascii="Arial"/>
          <w:sz w:val="20"/>
        </w:rPr>
        <w:t>another</w:t>
      </w:r>
      <w:r>
        <w:rPr>
          <w:rFonts w:ascii="Arial"/>
          <w:spacing w:val="-2"/>
          <w:sz w:val="20"/>
        </w:rPr>
        <w:t> </w:t>
      </w:r>
      <w:r>
        <w:rPr>
          <w:rFonts w:ascii="Arial"/>
          <w:sz w:val="20"/>
        </w:rPr>
        <w:t>EU Member State and ensure that citizens seeking to work in a regulated profession in another Member State can have their professional qualifications recognized. As we move towards a green and digital economy, we assist businesses in upskilling and reskilling their workers to meet the challenges of these transitions. Our mission is at the heart of the EU single market project - to create new opportunities for citizens and companies in Europe.</w:t>
      </w:r>
    </w:p>
    <w:p>
      <w:pPr>
        <w:pStyle w:val="BodyText"/>
        <w:spacing w:before="1"/>
        <w:rPr>
          <w:rFonts w:ascii="Arial"/>
          <w:sz w:val="20"/>
        </w:rPr>
      </w:pPr>
    </w:p>
    <w:p>
      <w:pPr>
        <w:spacing w:line="230" w:lineRule="exact" w:before="0"/>
        <w:ind w:left="370" w:right="0" w:firstLine="0"/>
        <w:jc w:val="left"/>
        <w:rPr>
          <w:rFonts w:ascii="Arial"/>
          <w:sz w:val="20"/>
        </w:rPr>
      </w:pPr>
      <w:r>
        <w:rPr>
          <w:rFonts w:ascii="Arial"/>
          <w:sz w:val="20"/>
        </w:rPr>
        <w:t>We</w:t>
      </w:r>
      <w:r>
        <w:rPr>
          <w:rFonts w:ascii="Arial"/>
          <w:spacing w:val="-6"/>
          <w:sz w:val="20"/>
        </w:rPr>
        <w:t> </w:t>
      </w:r>
      <w:r>
        <w:rPr>
          <w:rFonts w:ascii="Arial"/>
          <w:sz w:val="20"/>
        </w:rPr>
        <w:t>propose</w:t>
      </w:r>
      <w:r>
        <w:rPr>
          <w:rFonts w:ascii="Arial"/>
          <w:spacing w:val="-5"/>
          <w:sz w:val="20"/>
        </w:rPr>
        <w:t> </w:t>
      </w:r>
      <w:r>
        <w:rPr>
          <w:rFonts w:ascii="Arial"/>
          <w:sz w:val="20"/>
        </w:rPr>
        <w:t>a</w:t>
      </w:r>
      <w:r>
        <w:rPr>
          <w:rFonts w:ascii="Arial"/>
          <w:spacing w:val="-4"/>
          <w:sz w:val="20"/>
        </w:rPr>
        <w:t> </w:t>
      </w:r>
      <w:r>
        <w:rPr>
          <w:rFonts w:ascii="Arial"/>
          <w:sz w:val="20"/>
        </w:rPr>
        <w:t>position</w:t>
      </w:r>
      <w:r>
        <w:rPr>
          <w:rFonts w:ascii="Arial"/>
          <w:spacing w:val="-4"/>
          <w:sz w:val="20"/>
        </w:rPr>
        <w:t> </w:t>
      </w:r>
      <w:r>
        <w:rPr>
          <w:rFonts w:ascii="Arial"/>
          <w:sz w:val="20"/>
        </w:rPr>
        <w:t>as</w:t>
      </w:r>
      <w:r>
        <w:rPr>
          <w:rFonts w:ascii="Arial"/>
          <w:spacing w:val="-3"/>
          <w:sz w:val="20"/>
        </w:rPr>
        <w:t> </w:t>
      </w:r>
      <w:r>
        <w:rPr>
          <w:rFonts w:ascii="Arial"/>
          <w:sz w:val="20"/>
        </w:rPr>
        <w:t>legal</w:t>
      </w:r>
      <w:r>
        <w:rPr>
          <w:rFonts w:ascii="Arial"/>
          <w:spacing w:val="-4"/>
          <w:sz w:val="20"/>
        </w:rPr>
        <w:t> </w:t>
      </w:r>
      <w:r>
        <w:rPr>
          <w:rFonts w:ascii="Arial"/>
          <w:sz w:val="20"/>
        </w:rPr>
        <w:t>officer</w:t>
      </w:r>
      <w:r>
        <w:rPr>
          <w:rFonts w:ascii="Arial"/>
          <w:spacing w:val="-3"/>
          <w:sz w:val="20"/>
        </w:rPr>
        <w:t> </w:t>
      </w:r>
      <w:r>
        <w:rPr>
          <w:rFonts w:ascii="Arial"/>
          <w:sz w:val="20"/>
        </w:rPr>
        <w:t>/</w:t>
      </w:r>
      <w:r>
        <w:rPr>
          <w:rFonts w:ascii="Arial"/>
          <w:spacing w:val="-3"/>
          <w:sz w:val="20"/>
        </w:rPr>
        <w:t> </w:t>
      </w:r>
      <w:r>
        <w:rPr>
          <w:rFonts w:ascii="Arial"/>
          <w:sz w:val="20"/>
        </w:rPr>
        <w:t>policy</w:t>
      </w:r>
      <w:r>
        <w:rPr>
          <w:rFonts w:ascii="Arial"/>
          <w:spacing w:val="-3"/>
          <w:sz w:val="20"/>
        </w:rPr>
        <w:t> </w:t>
      </w:r>
      <w:r>
        <w:rPr>
          <w:rFonts w:ascii="Arial"/>
          <w:sz w:val="20"/>
        </w:rPr>
        <w:t>officer</w:t>
      </w:r>
      <w:r>
        <w:rPr>
          <w:rFonts w:ascii="Arial"/>
          <w:spacing w:val="-3"/>
          <w:sz w:val="20"/>
        </w:rPr>
        <w:t> </w:t>
      </w:r>
      <w:r>
        <w:rPr>
          <w:rFonts w:ascii="Arial"/>
          <w:sz w:val="20"/>
        </w:rPr>
        <w:t>working</w:t>
      </w:r>
      <w:r>
        <w:rPr>
          <w:rFonts w:ascii="Arial"/>
          <w:spacing w:val="-4"/>
          <w:sz w:val="20"/>
        </w:rPr>
        <w:t> </w:t>
      </w:r>
      <w:r>
        <w:rPr>
          <w:rFonts w:ascii="Arial"/>
          <w:sz w:val="20"/>
        </w:rPr>
        <w:t>with</w:t>
      </w:r>
      <w:r>
        <w:rPr>
          <w:rFonts w:ascii="Arial"/>
          <w:spacing w:val="-5"/>
          <w:sz w:val="20"/>
        </w:rPr>
        <w:t> </w:t>
      </w:r>
      <w:r>
        <w:rPr>
          <w:rFonts w:ascii="Arial"/>
          <w:sz w:val="20"/>
        </w:rPr>
        <w:t>our</w:t>
      </w:r>
      <w:r>
        <w:rPr>
          <w:rFonts w:ascii="Arial"/>
          <w:spacing w:val="-3"/>
          <w:sz w:val="20"/>
        </w:rPr>
        <w:t> </w:t>
      </w:r>
      <w:r>
        <w:rPr>
          <w:rFonts w:ascii="Arial"/>
          <w:sz w:val="20"/>
        </w:rPr>
        <w:t>professions</w:t>
      </w:r>
      <w:r>
        <w:rPr>
          <w:rFonts w:ascii="Arial"/>
          <w:spacing w:val="-3"/>
          <w:sz w:val="20"/>
        </w:rPr>
        <w:t> </w:t>
      </w:r>
      <w:r>
        <w:rPr>
          <w:rFonts w:ascii="Arial"/>
          <w:sz w:val="20"/>
        </w:rPr>
        <w:t>and</w:t>
      </w:r>
      <w:r>
        <w:rPr>
          <w:rFonts w:ascii="Arial"/>
          <w:spacing w:val="-4"/>
          <w:sz w:val="20"/>
        </w:rPr>
        <w:t> </w:t>
      </w:r>
      <w:r>
        <w:rPr>
          <w:rFonts w:ascii="Arial"/>
          <w:sz w:val="20"/>
        </w:rPr>
        <w:t>services</w:t>
      </w:r>
      <w:r>
        <w:rPr>
          <w:rFonts w:ascii="Arial"/>
          <w:spacing w:val="-2"/>
          <w:sz w:val="20"/>
        </w:rPr>
        <w:t> teams.</w:t>
      </w:r>
    </w:p>
    <w:p>
      <w:pPr>
        <w:spacing w:before="0"/>
        <w:ind w:left="370" w:right="156" w:firstLine="0"/>
        <w:jc w:val="left"/>
        <w:rPr>
          <w:rFonts w:ascii="Arial"/>
          <w:sz w:val="20"/>
        </w:rPr>
      </w:pPr>
      <w:r>
        <w:rPr>
          <w:rFonts w:ascii="Arial"/>
          <w:sz w:val="20"/>
        </w:rPr>
        <w:t>The professions team is in charge of developing policy for the recognition of professional qualifications across EU Member States, enabling citizens to work in other parts of the Union and companies to fill skills gaps. The work of the</w:t>
      </w:r>
      <w:r>
        <w:rPr>
          <w:rFonts w:ascii="Arial"/>
          <w:spacing w:val="-2"/>
          <w:sz w:val="20"/>
        </w:rPr>
        <w:t> </w:t>
      </w:r>
      <w:r>
        <w:rPr>
          <w:rFonts w:ascii="Arial"/>
          <w:sz w:val="20"/>
        </w:rPr>
        <w:t>team</w:t>
      </w:r>
      <w:r>
        <w:rPr>
          <w:rFonts w:ascii="Arial"/>
          <w:spacing w:val="-2"/>
          <w:sz w:val="20"/>
        </w:rPr>
        <w:t> </w:t>
      </w:r>
      <w:r>
        <w:rPr>
          <w:rFonts w:ascii="Arial"/>
          <w:sz w:val="20"/>
        </w:rPr>
        <w:t>has</w:t>
      </w:r>
      <w:r>
        <w:rPr>
          <w:rFonts w:ascii="Arial"/>
          <w:spacing w:val="-2"/>
          <w:sz w:val="20"/>
        </w:rPr>
        <w:t> </w:t>
      </w:r>
      <w:r>
        <w:rPr>
          <w:rFonts w:ascii="Arial"/>
          <w:sz w:val="20"/>
        </w:rPr>
        <w:t>a</w:t>
      </w:r>
      <w:r>
        <w:rPr>
          <w:rFonts w:ascii="Arial"/>
          <w:spacing w:val="-2"/>
          <w:sz w:val="20"/>
        </w:rPr>
        <w:t> </w:t>
      </w:r>
      <w:r>
        <w:rPr>
          <w:rFonts w:ascii="Arial"/>
          <w:sz w:val="20"/>
        </w:rPr>
        <w:t>real</w:t>
      </w:r>
      <w:r>
        <w:rPr>
          <w:rFonts w:ascii="Arial"/>
          <w:spacing w:val="-2"/>
          <w:sz w:val="20"/>
        </w:rPr>
        <w:t> </w:t>
      </w:r>
      <w:r>
        <w:rPr>
          <w:rFonts w:ascii="Arial"/>
          <w:sz w:val="20"/>
        </w:rPr>
        <w:t>impact</w:t>
      </w:r>
      <w:r>
        <w:rPr>
          <w:rFonts w:ascii="Arial"/>
          <w:spacing w:val="-4"/>
          <w:sz w:val="20"/>
        </w:rPr>
        <w:t> </w:t>
      </w:r>
      <w:r>
        <w:rPr>
          <w:rFonts w:ascii="Arial"/>
          <w:sz w:val="20"/>
        </w:rPr>
        <w:t>on</w:t>
      </w:r>
      <w:r>
        <w:rPr>
          <w:rFonts w:ascii="Arial"/>
          <w:spacing w:val="-2"/>
          <w:sz w:val="20"/>
        </w:rPr>
        <w:t> </w:t>
      </w:r>
      <w:r>
        <w:rPr>
          <w:rFonts w:ascii="Arial"/>
          <w:sz w:val="20"/>
        </w:rPr>
        <w:t>citizens,</w:t>
      </w:r>
      <w:r>
        <w:rPr>
          <w:rFonts w:ascii="Arial"/>
          <w:spacing w:val="-2"/>
          <w:sz w:val="20"/>
        </w:rPr>
        <w:t> </w:t>
      </w:r>
      <w:r>
        <w:rPr>
          <w:rFonts w:ascii="Arial"/>
          <w:sz w:val="20"/>
        </w:rPr>
        <w:t>making</w:t>
      </w:r>
      <w:r>
        <w:rPr>
          <w:rFonts w:ascii="Arial"/>
          <w:spacing w:val="-2"/>
          <w:sz w:val="20"/>
        </w:rPr>
        <w:t> </w:t>
      </w:r>
      <w:r>
        <w:rPr>
          <w:rFonts w:ascii="Arial"/>
          <w:sz w:val="20"/>
        </w:rPr>
        <w:t>their</w:t>
      </w:r>
      <w:r>
        <w:rPr>
          <w:rFonts w:ascii="Arial"/>
          <w:spacing w:val="-1"/>
          <w:sz w:val="20"/>
        </w:rPr>
        <w:t> </w:t>
      </w:r>
      <w:r>
        <w:rPr>
          <w:rFonts w:ascii="Arial"/>
          <w:sz w:val="20"/>
        </w:rPr>
        <w:t>legal</w:t>
      </w:r>
      <w:r>
        <w:rPr>
          <w:rFonts w:ascii="Arial"/>
          <w:spacing w:val="-2"/>
          <w:sz w:val="20"/>
        </w:rPr>
        <w:t> </w:t>
      </w:r>
      <w:r>
        <w:rPr>
          <w:rFonts w:ascii="Arial"/>
          <w:sz w:val="20"/>
        </w:rPr>
        <w:t>right</w:t>
      </w:r>
      <w:r>
        <w:rPr>
          <w:rFonts w:ascii="Arial"/>
          <w:spacing w:val="-2"/>
          <w:sz w:val="20"/>
        </w:rPr>
        <w:t> </w:t>
      </w:r>
      <w:r>
        <w:rPr>
          <w:rFonts w:ascii="Arial"/>
          <w:sz w:val="20"/>
        </w:rPr>
        <w:t>to</w:t>
      </w:r>
      <w:r>
        <w:rPr>
          <w:rFonts w:ascii="Arial"/>
          <w:spacing w:val="-2"/>
          <w:sz w:val="20"/>
        </w:rPr>
        <w:t> </w:t>
      </w:r>
      <w:r>
        <w:rPr>
          <w:rFonts w:ascii="Arial"/>
          <w:sz w:val="20"/>
        </w:rPr>
        <w:t>work</w:t>
      </w:r>
      <w:r>
        <w:rPr>
          <w:rFonts w:ascii="Arial"/>
          <w:spacing w:val="-1"/>
          <w:sz w:val="20"/>
        </w:rPr>
        <w:t> </w:t>
      </w:r>
      <w:r>
        <w:rPr>
          <w:rFonts w:ascii="Arial"/>
          <w:sz w:val="20"/>
        </w:rPr>
        <w:t>in</w:t>
      </w:r>
      <w:r>
        <w:rPr>
          <w:rFonts w:ascii="Arial"/>
          <w:spacing w:val="-2"/>
          <w:sz w:val="20"/>
        </w:rPr>
        <w:t> </w:t>
      </w:r>
      <w:r>
        <w:rPr>
          <w:rFonts w:ascii="Arial"/>
          <w:sz w:val="20"/>
        </w:rPr>
        <w:t>other</w:t>
      </w:r>
      <w:r>
        <w:rPr>
          <w:rFonts w:ascii="Arial"/>
          <w:spacing w:val="-1"/>
          <w:sz w:val="20"/>
        </w:rPr>
        <w:t> </w:t>
      </w:r>
      <w:r>
        <w:rPr>
          <w:rFonts w:ascii="Arial"/>
          <w:sz w:val="20"/>
        </w:rPr>
        <w:t>parts</w:t>
      </w:r>
      <w:r>
        <w:rPr>
          <w:rFonts w:ascii="Arial"/>
          <w:spacing w:val="-1"/>
          <w:sz w:val="20"/>
        </w:rPr>
        <w:t> </w:t>
      </w:r>
      <w:r>
        <w:rPr>
          <w:rFonts w:ascii="Arial"/>
          <w:sz w:val="20"/>
        </w:rPr>
        <w:t>of</w:t>
      </w:r>
      <w:r>
        <w:rPr>
          <w:rFonts w:ascii="Arial"/>
          <w:spacing w:val="-2"/>
          <w:sz w:val="20"/>
        </w:rPr>
        <w:t> </w:t>
      </w:r>
      <w:r>
        <w:rPr>
          <w:rFonts w:ascii="Arial"/>
          <w:sz w:val="20"/>
        </w:rPr>
        <w:t>the</w:t>
      </w:r>
      <w:r>
        <w:rPr>
          <w:rFonts w:ascii="Arial"/>
          <w:spacing w:val="-2"/>
          <w:sz w:val="20"/>
        </w:rPr>
        <w:t> </w:t>
      </w:r>
      <w:r>
        <w:rPr>
          <w:rFonts w:ascii="Arial"/>
          <w:sz w:val="20"/>
        </w:rPr>
        <w:t>Union</w:t>
      </w:r>
      <w:r>
        <w:rPr>
          <w:rFonts w:ascii="Arial"/>
          <w:spacing w:val="-2"/>
          <w:sz w:val="20"/>
        </w:rPr>
        <w:t> </w:t>
      </w:r>
      <w:r>
        <w:rPr>
          <w:rFonts w:ascii="Arial"/>
          <w:sz w:val="20"/>
        </w:rPr>
        <w:t>a</w:t>
      </w:r>
      <w:r>
        <w:rPr>
          <w:rFonts w:ascii="Arial"/>
          <w:spacing w:val="-2"/>
          <w:sz w:val="20"/>
        </w:rPr>
        <w:t> </w:t>
      </w:r>
      <w:r>
        <w:rPr>
          <w:rFonts w:ascii="Arial"/>
          <w:sz w:val="20"/>
        </w:rPr>
        <w:t>practical</w:t>
      </w:r>
      <w:r>
        <w:rPr>
          <w:rFonts w:ascii="Arial"/>
          <w:spacing w:val="-2"/>
          <w:sz w:val="20"/>
        </w:rPr>
        <w:t> </w:t>
      </w:r>
      <w:r>
        <w:rPr>
          <w:rFonts w:ascii="Arial"/>
          <w:sz w:val="20"/>
        </w:rPr>
        <w:t>reality. It</w:t>
      </w:r>
      <w:r>
        <w:rPr>
          <w:rFonts w:ascii="Arial"/>
          <w:spacing w:val="-1"/>
          <w:sz w:val="20"/>
        </w:rPr>
        <w:t> </w:t>
      </w:r>
      <w:r>
        <w:rPr>
          <w:rFonts w:ascii="Arial"/>
          <w:sz w:val="20"/>
        </w:rPr>
        <w:t>moreover</w:t>
      </w:r>
      <w:r>
        <w:rPr>
          <w:rFonts w:ascii="Arial"/>
          <w:spacing w:val="-2"/>
          <w:sz w:val="20"/>
        </w:rPr>
        <w:t> </w:t>
      </w:r>
      <w:r>
        <w:rPr>
          <w:rFonts w:ascii="Arial"/>
          <w:sz w:val="20"/>
        </w:rPr>
        <w:t>contributes to</w:t>
      </w:r>
      <w:r>
        <w:rPr>
          <w:rFonts w:ascii="Arial"/>
          <w:spacing w:val="-1"/>
          <w:sz w:val="20"/>
        </w:rPr>
        <w:t> </w:t>
      </w:r>
      <w:r>
        <w:rPr>
          <w:rFonts w:ascii="Arial"/>
          <w:sz w:val="20"/>
        </w:rPr>
        <w:t>filling</w:t>
      </w:r>
      <w:r>
        <w:rPr>
          <w:rFonts w:ascii="Arial"/>
          <w:spacing w:val="-1"/>
          <w:sz w:val="20"/>
        </w:rPr>
        <w:t> </w:t>
      </w:r>
      <w:r>
        <w:rPr>
          <w:rFonts w:ascii="Arial"/>
          <w:sz w:val="20"/>
        </w:rPr>
        <w:t>skills gaps in</w:t>
      </w:r>
      <w:r>
        <w:rPr>
          <w:rFonts w:ascii="Arial"/>
          <w:spacing w:val="-1"/>
          <w:sz w:val="20"/>
        </w:rPr>
        <w:t> </w:t>
      </w:r>
      <w:r>
        <w:rPr>
          <w:rFonts w:ascii="Arial"/>
          <w:sz w:val="20"/>
        </w:rPr>
        <w:t>the</w:t>
      </w:r>
      <w:r>
        <w:rPr>
          <w:rFonts w:ascii="Arial"/>
          <w:spacing w:val="-1"/>
          <w:sz w:val="20"/>
        </w:rPr>
        <w:t> </w:t>
      </w:r>
      <w:r>
        <w:rPr>
          <w:rFonts w:ascii="Arial"/>
          <w:sz w:val="20"/>
        </w:rPr>
        <w:t>economy by improving</w:t>
      </w:r>
      <w:r>
        <w:rPr>
          <w:rFonts w:ascii="Arial"/>
          <w:spacing w:val="-1"/>
          <w:sz w:val="20"/>
        </w:rPr>
        <w:t> </w:t>
      </w:r>
      <w:r>
        <w:rPr>
          <w:rFonts w:ascii="Arial"/>
          <w:sz w:val="20"/>
        </w:rPr>
        <w:t>the</w:t>
      </w:r>
      <w:r>
        <w:rPr>
          <w:rFonts w:ascii="Arial"/>
          <w:spacing w:val="-1"/>
          <w:sz w:val="20"/>
        </w:rPr>
        <w:t> </w:t>
      </w:r>
      <w:r>
        <w:rPr>
          <w:rFonts w:ascii="Arial"/>
          <w:sz w:val="20"/>
        </w:rPr>
        <w:t>mobility of</w:t>
      </w:r>
      <w:r>
        <w:rPr>
          <w:rFonts w:ascii="Arial"/>
          <w:spacing w:val="-1"/>
          <w:sz w:val="20"/>
        </w:rPr>
        <w:t> </w:t>
      </w:r>
      <w:r>
        <w:rPr>
          <w:rFonts w:ascii="Arial"/>
          <w:sz w:val="20"/>
        </w:rPr>
        <w:t>qualified</w:t>
      </w:r>
      <w:r>
        <w:rPr>
          <w:rFonts w:ascii="Arial"/>
          <w:spacing w:val="-1"/>
          <w:sz w:val="20"/>
        </w:rPr>
        <w:t> </w:t>
      </w:r>
      <w:r>
        <w:rPr>
          <w:rFonts w:ascii="Arial"/>
          <w:sz w:val="20"/>
        </w:rPr>
        <w:t>professionals.</w:t>
      </w:r>
      <w:r>
        <w:rPr>
          <w:rFonts w:ascii="Arial"/>
          <w:spacing w:val="-1"/>
          <w:sz w:val="20"/>
        </w:rPr>
        <w:t> </w:t>
      </w:r>
      <w:r>
        <w:rPr>
          <w:rFonts w:ascii="Arial"/>
          <w:sz w:val="20"/>
        </w:rPr>
        <w:t>Our dynamic professions team at present consists of 5 lawyers. As part of the team, the successful candidate would contribute to the development and implementation of policies and legislation in the areas of the regulation of professions and mutual recognition of professional qualifications.</w:t>
      </w:r>
    </w:p>
    <w:p>
      <w:pPr>
        <w:spacing w:before="0"/>
        <w:ind w:left="370" w:right="156" w:firstLine="0"/>
        <w:jc w:val="left"/>
        <w:rPr>
          <w:rFonts w:ascii="Arial"/>
          <w:sz w:val="20"/>
        </w:rPr>
      </w:pPr>
      <w:r>
        <w:rPr>
          <w:rFonts w:ascii="Arial"/>
          <w:sz w:val="20"/>
        </w:rPr>
        <w:t>The services team is in charge of the development and implementation of the Commission's policy agenda for deepening the single market for services and the contribution of services to the competitiveness and resilience of the</w:t>
      </w:r>
      <w:r>
        <w:rPr>
          <w:rFonts w:ascii="Arial"/>
          <w:spacing w:val="-2"/>
          <w:sz w:val="20"/>
        </w:rPr>
        <w:t> </w:t>
      </w:r>
      <w:r>
        <w:rPr>
          <w:rFonts w:ascii="Arial"/>
          <w:sz w:val="20"/>
        </w:rPr>
        <w:t>EU</w:t>
      </w:r>
      <w:r>
        <w:rPr>
          <w:rFonts w:ascii="Arial"/>
          <w:spacing w:val="-1"/>
          <w:sz w:val="20"/>
        </w:rPr>
        <w:t> </w:t>
      </w:r>
      <w:r>
        <w:rPr>
          <w:rFonts w:ascii="Arial"/>
          <w:sz w:val="20"/>
        </w:rPr>
        <w:t>economy</w:t>
      </w:r>
      <w:r>
        <w:rPr>
          <w:rFonts w:ascii="Arial"/>
          <w:spacing w:val="-1"/>
          <w:sz w:val="20"/>
        </w:rPr>
        <w:t> </w:t>
      </w:r>
      <w:r>
        <w:rPr>
          <w:rFonts w:ascii="Arial"/>
          <w:sz w:val="20"/>
        </w:rPr>
        <w:t>and</w:t>
      </w:r>
      <w:r>
        <w:rPr>
          <w:rFonts w:ascii="Arial"/>
          <w:spacing w:val="-2"/>
          <w:sz w:val="20"/>
        </w:rPr>
        <w:t> </w:t>
      </w:r>
      <w:r>
        <w:rPr>
          <w:rFonts w:ascii="Arial"/>
          <w:sz w:val="20"/>
        </w:rPr>
        <w:t>its</w:t>
      </w:r>
      <w:r>
        <w:rPr>
          <w:rFonts w:ascii="Arial"/>
          <w:spacing w:val="-1"/>
          <w:sz w:val="20"/>
        </w:rPr>
        <w:t> </w:t>
      </w:r>
      <w:r>
        <w:rPr>
          <w:rFonts w:ascii="Arial"/>
          <w:sz w:val="20"/>
        </w:rPr>
        <w:t>green</w:t>
      </w:r>
      <w:r>
        <w:rPr>
          <w:rFonts w:ascii="Arial"/>
          <w:spacing w:val="-2"/>
          <w:sz w:val="20"/>
        </w:rPr>
        <w:t> </w:t>
      </w:r>
      <w:r>
        <w:rPr>
          <w:rFonts w:ascii="Arial"/>
          <w:sz w:val="20"/>
        </w:rPr>
        <w:t>and</w:t>
      </w:r>
      <w:r>
        <w:rPr>
          <w:rFonts w:ascii="Arial"/>
          <w:spacing w:val="-2"/>
          <w:sz w:val="20"/>
        </w:rPr>
        <w:t> </w:t>
      </w:r>
      <w:r>
        <w:rPr>
          <w:rFonts w:ascii="Arial"/>
          <w:sz w:val="20"/>
        </w:rPr>
        <w:t>digital</w:t>
      </w:r>
      <w:r>
        <w:rPr>
          <w:rFonts w:ascii="Arial"/>
          <w:spacing w:val="-2"/>
          <w:sz w:val="20"/>
        </w:rPr>
        <w:t> </w:t>
      </w:r>
      <w:r>
        <w:rPr>
          <w:rFonts w:ascii="Arial"/>
          <w:sz w:val="20"/>
        </w:rPr>
        <w:t>transition.</w:t>
      </w:r>
      <w:r>
        <w:rPr>
          <w:rFonts w:ascii="Arial"/>
          <w:spacing w:val="-2"/>
          <w:sz w:val="20"/>
        </w:rPr>
        <w:t> </w:t>
      </w:r>
      <w:r>
        <w:rPr>
          <w:rFonts w:ascii="Arial"/>
          <w:sz w:val="20"/>
        </w:rPr>
        <w:t>Our</w:t>
      </w:r>
      <w:r>
        <w:rPr>
          <w:rFonts w:ascii="Arial"/>
          <w:spacing w:val="-3"/>
          <w:sz w:val="20"/>
        </w:rPr>
        <w:t> </w:t>
      </w:r>
      <w:r>
        <w:rPr>
          <w:rFonts w:ascii="Arial"/>
          <w:sz w:val="20"/>
        </w:rPr>
        <w:t>services</w:t>
      </w:r>
      <w:r>
        <w:rPr>
          <w:rFonts w:ascii="Arial"/>
          <w:spacing w:val="-1"/>
          <w:sz w:val="20"/>
        </w:rPr>
        <w:t> </w:t>
      </w:r>
      <w:r>
        <w:rPr>
          <w:rFonts w:ascii="Arial"/>
          <w:sz w:val="20"/>
        </w:rPr>
        <w:t>team</w:t>
      </w:r>
      <w:r>
        <w:rPr>
          <w:rFonts w:ascii="Arial"/>
          <w:spacing w:val="-2"/>
          <w:sz w:val="20"/>
        </w:rPr>
        <w:t> </w:t>
      </w:r>
      <w:r>
        <w:rPr>
          <w:rFonts w:ascii="Arial"/>
          <w:sz w:val="20"/>
        </w:rPr>
        <w:t>at</w:t>
      </w:r>
      <w:r>
        <w:rPr>
          <w:rFonts w:ascii="Arial"/>
          <w:spacing w:val="-2"/>
          <w:sz w:val="20"/>
        </w:rPr>
        <w:t> </w:t>
      </w:r>
      <w:r>
        <w:rPr>
          <w:rFonts w:ascii="Arial"/>
          <w:sz w:val="20"/>
        </w:rPr>
        <w:t>present</w:t>
      </w:r>
      <w:r>
        <w:rPr>
          <w:rFonts w:ascii="Arial"/>
          <w:spacing w:val="-2"/>
          <w:sz w:val="20"/>
        </w:rPr>
        <w:t> </w:t>
      </w:r>
      <w:r>
        <w:rPr>
          <w:rFonts w:ascii="Arial"/>
          <w:sz w:val="20"/>
        </w:rPr>
        <w:t>consists</w:t>
      </w:r>
      <w:r>
        <w:rPr>
          <w:rFonts w:ascii="Arial"/>
          <w:spacing w:val="-1"/>
          <w:sz w:val="20"/>
        </w:rPr>
        <w:t> </w:t>
      </w:r>
      <w:r>
        <w:rPr>
          <w:rFonts w:ascii="Arial"/>
          <w:sz w:val="20"/>
        </w:rPr>
        <w:t>of</w:t>
      </w:r>
      <w:r>
        <w:rPr>
          <w:rFonts w:ascii="Arial"/>
          <w:spacing w:val="-2"/>
          <w:sz w:val="20"/>
        </w:rPr>
        <w:t> </w:t>
      </w:r>
      <w:r>
        <w:rPr>
          <w:rFonts w:ascii="Arial"/>
          <w:sz w:val="20"/>
        </w:rPr>
        <w:t>two</w:t>
      </w:r>
      <w:r>
        <w:rPr>
          <w:rFonts w:ascii="Arial"/>
          <w:spacing w:val="-2"/>
          <w:sz w:val="20"/>
        </w:rPr>
        <w:t> </w:t>
      </w:r>
      <w:r>
        <w:rPr>
          <w:rFonts w:ascii="Arial"/>
          <w:sz w:val="20"/>
        </w:rPr>
        <w:t>lawyers</w:t>
      </w:r>
      <w:r>
        <w:rPr>
          <w:rFonts w:ascii="Arial"/>
          <w:spacing w:val="-1"/>
          <w:sz w:val="20"/>
        </w:rPr>
        <w:t> </w:t>
      </w:r>
      <w:r>
        <w:rPr>
          <w:rFonts w:ascii="Arial"/>
          <w:sz w:val="20"/>
        </w:rPr>
        <w:t>and</w:t>
      </w:r>
      <w:r>
        <w:rPr>
          <w:rFonts w:ascii="Arial"/>
          <w:spacing w:val="-2"/>
          <w:sz w:val="20"/>
        </w:rPr>
        <w:t> </w:t>
      </w:r>
      <w:r>
        <w:rPr>
          <w:rFonts w:ascii="Arial"/>
          <w:sz w:val="20"/>
        </w:rPr>
        <w:t>one economist.</w:t>
      </w:r>
      <w:r>
        <w:rPr>
          <w:rFonts w:ascii="Arial"/>
          <w:spacing w:val="-3"/>
          <w:sz w:val="20"/>
        </w:rPr>
        <w:t> </w:t>
      </w:r>
      <w:r>
        <w:rPr>
          <w:rFonts w:ascii="Arial"/>
          <w:sz w:val="20"/>
        </w:rPr>
        <w:t>As</w:t>
      </w:r>
      <w:r>
        <w:rPr>
          <w:rFonts w:ascii="Arial"/>
          <w:spacing w:val="-2"/>
          <w:sz w:val="20"/>
        </w:rPr>
        <w:t> </w:t>
      </w:r>
      <w:r>
        <w:rPr>
          <w:rFonts w:ascii="Arial"/>
          <w:sz w:val="20"/>
        </w:rPr>
        <w:t>part</w:t>
      </w:r>
      <w:r>
        <w:rPr>
          <w:rFonts w:ascii="Arial"/>
          <w:spacing w:val="-3"/>
          <w:sz w:val="20"/>
        </w:rPr>
        <w:t> </w:t>
      </w:r>
      <w:r>
        <w:rPr>
          <w:rFonts w:ascii="Arial"/>
          <w:sz w:val="20"/>
        </w:rPr>
        <w:t>of</w:t>
      </w:r>
      <w:r>
        <w:rPr>
          <w:rFonts w:ascii="Arial"/>
          <w:spacing w:val="-3"/>
          <w:sz w:val="20"/>
        </w:rPr>
        <w:t> </w:t>
      </w:r>
      <w:r>
        <w:rPr>
          <w:rFonts w:ascii="Arial"/>
          <w:sz w:val="20"/>
        </w:rPr>
        <w:t>the</w:t>
      </w:r>
      <w:r>
        <w:rPr>
          <w:rFonts w:ascii="Arial"/>
          <w:spacing w:val="-3"/>
          <w:sz w:val="20"/>
        </w:rPr>
        <w:t> </w:t>
      </w:r>
      <w:r>
        <w:rPr>
          <w:rFonts w:ascii="Arial"/>
          <w:sz w:val="20"/>
        </w:rPr>
        <w:t>team,</w:t>
      </w:r>
      <w:r>
        <w:rPr>
          <w:rFonts w:ascii="Arial"/>
          <w:spacing w:val="-3"/>
          <w:sz w:val="20"/>
        </w:rPr>
        <w:t> </w:t>
      </w:r>
      <w:r>
        <w:rPr>
          <w:rFonts w:ascii="Arial"/>
          <w:sz w:val="20"/>
        </w:rPr>
        <w:t>the</w:t>
      </w:r>
      <w:r>
        <w:rPr>
          <w:rFonts w:ascii="Arial"/>
          <w:spacing w:val="-3"/>
          <w:sz w:val="20"/>
        </w:rPr>
        <w:t> </w:t>
      </w:r>
      <w:r>
        <w:rPr>
          <w:rFonts w:ascii="Arial"/>
          <w:sz w:val="20"/>
        </w:rPr>
        <w:t>successful</w:t>
      </w:r>
      <w:r>
        <w:rPr>
          <w:rFonts w:ascii="Arial"/>
          <w:spacing w:val="-4"/>
          <w:sz w:val="20"/>
        </w:rPr>
        <w:t> </w:t>
      </w:r>
      <w:r>
        <w:rPr>
          <w:rFonts w:ascii="Arial"/>
          <w:sz w:val="20"/>
        </w:rPr>
        <w:t>candidate</w:t>
      </w:r>
      <w:r>
        <w:rPr>
          <w:rFonts w:ascii="Arial"/>
          <w:spacing w:val="-3"/>
          <w:sz w:val="20"/>
        </w:rPr>
        <w:t> </w:t>
      </w:r>
      <w:r>
        <w:rPr>
          <w:rFonts w:ascii="Arial"/>
          <w:sz w:val="20"/>
        </w:rPr>
        <w:t>would</w:t>
      </w:r>
      <w:r>
        <w:rPr>
          <w:rFonts w:ascii="Arial"/>
          <w:spacing w:val="-3"/>
          <w:sz w:val="20"/>
        </w:rPr>
        <w:t> </w:t>
      </w:r>
      <w:r>
        <w:rPr>
          <w:rFonts w:ascii="Arial"/>
          <w:sz w:val="20"/>
        </w:rPr>
        <w:t>contribute</w:t>
      </w:r>
      <w:r>
        <w:rPr>
          <w:rFonts w:ascii="Arial"/>
          <w:spacing w:val="-3"/>
          <w:sz w:val="20"/>
        </w:rPr>
        <w:t> </w:t>
      </w:r>
      <w:r>
        <w:rPr>
          <w:rFonts w:ascii="Arial"/>
          <w:sz w:val="20"/>
        </w:rPr>
        <w:t>to</w:t>
      </w:r>
      <w:r>
        <w:rPr>
          <w:rFonts w:ascii="Arial"/>
          <w:spacing w:val="-3"/>
          <w:sz w:val="20"/>
        </w:rPr>
        <w:t> </w:t>
      </w:r>
      <w:r>
        <w:rPr>
          <w:rFonts w:ascii="Arial"/>
          <w:sz w:val="20"/>
        </w:rPr>
        <w:t>the</w:t>
      </w:r>
      <w:r>
        <w:rPr>
          <w:rFonts w:ascii="Arial"/>
          <w:spacing w:val="-3"/>
          <w:sz w:val="20"/>
        </w:rPr>
        <w:t> </w:t>
      </w:r>
      <w:r>
        <w:rPr>
          <w:rFonts w:ascii="Arial"/>
          <w:sz w:val="20"/>
        </w:rPr>
        <w:t>development</w:t>
      </w:r>
      <w:r>
        <w:rPr>
          <w:rFonts w:ascii="Arial"/>
          <w:spacing w:val="-3"/>
          <w:sz w:val="20"/>
        </w:rPr>
        <w:t> </w:t>
      </w:r>
      <w:r>
        <w:rPr>
          <w:rFonts w:ascii="Arial"/>
          <w:sz w:val="20"/>
        </w:rPr>
        <w:t>and</w:t>
      </w:r>
      <w:r>
        <w:rPr>
          <w:rFonts w:ascii="Arial"/>
          <w:spacing w:val="-3"/>
          <w:sz w:val="20"/>
        </w:rPr>
        <w:t> </w:t>
      </w:r>
      <w:r>
        <w:rPr>
          <w:rFonts w:ascii="Arial"/>
          <w:sz w:val="20"/>
        </w:rPr>
        <w:t>implementation of policies and possibly legislation in the field of services.</w:t>
      </w:r>
    </w:p>
    <w:p>
      <w:pPr>
        <w:pStyle w:val="BodyText"/>
        <w:rPr>
          <w:rFonts w:ascii="Arial"/>
        </w:rPr>
      </w:pPr>
    </w:p>
    <w:p>
      <w:pPr>
        <w:pStyle w:val="BodyText"/>
        <w:rPr>
          <w:rFonts w:ascii="Arial"/>
          <w:sz w:val="20"/>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Main</w:t>
      </w:r>
      <w:r>
        <w:rPr>
          <w:b/>
          <w:spacing w:val="-1"/>
          <w:sz w:val="24"/>
          <w:u w:val="single"/>
        </w:rPr>
        <w:t> </w:t>
      </w:r>
      <w:r>
        <w:rPr>
          <w:b/>
          <w:spacing w:val="-2"/>
          <w:sz w:val="24"/>
          <w:u w:val="single"/>
        </w:rPr>
        <w:t>qualifications</w:t>
      </w:r>
    </w:p>
    <w:p>
      <w:pPr>
        <w:pStyle w:val="BodyText"/>
        <w:spacing w:before="1"/>
        <w:rPr>
          <w:b/>
          <w:sz w:val="16"/>
        </w:rPr>
      </w:pPr>
    </w:p>
    <w:p>
      <w:pPr>
        <w:pStyle w:val="Heading1"/>
        <w:numPr>
          <w:ilvl w:val="1"/>
          <w:numId w:val="2"/>
        </w:numPr>
        <w:tabs>
          <w:tab w:pos="1036" w:val="left" w:leader="none"/>
        </w:tabs>
        <w:spacing w:line="240" w:lineRule="auto" w:before="91" w:after="0"/>
        <w:ind w:left="1035" w:right="0" w:hanging="240"/>
        <w:jc w:val="left"/>
      </w:pPr>
      <w:r>
        <w:rPr/>
        <w:t>Eligibility</w:t>
      </w:r>
      <w:r>
        <w:rPr>
          <w:spacing w:val="-12"/>
        </w:rPr>
        <w:t> </w:t>
      </w:r>
      <w:r>
        <w:rPr>
          <w:spacing w:val="-2"/>
        </w:rPr>
        <w:t>criteria</w:t>
      </w:r>
    </w:p>
    <w:p>
      <w:pPr>
        <w:pStyle w:val="BodyText"/>
        <w:rPr>
          <w:b/>
          <w:sz w:val="20"/>
        </w:rPr>
      </w:pPr>
    </w:p>
    <w:p>
      <w:pPr>
        <w:pStyle w:val="BodyText"/>
        <w:spacing w:before="6"/>
        <w:rPr>
          <w:b/>
          <w:sz w:val="26"/>
        </w:rPr>
      </w:pPr>
      <w:r>
        <w:rPr/>
        <w:pict>
          <v:rect style="position:absolute;margin-left:42.540001pt;margin-top:16.472744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100"/>
        <w:ind w:left="370" w:right="0" w:firstLine="0"/>
        <w:jc w:val="left"/>
        <w:rPr>
          <w:sz w:val="20"/>
        </w:rPr>
      </w:pPr>
      <w:r>
        <w:rPr>
          <w:sz w:val="20"/>
          <w:vertAlign w:val="superscript"/>
        </w:rPr>
        <w:t>1</w:t>
      </w:r>
      <w:r>
        <w:rPr>
          <w:spacing w:val="-3"/>
          <w:sz w:val="20"/>
          <w:vertAlign w:val="baseline"/>
        </w:rPr>
        <w:t> </w:t>
      </w:r>
      <w:r>
        <w:rPr>
          <w:sz w:val="20"/>
          <w:vertAlign w:val="baseline"/>
        </w:rPr>
        <w:t>These</w:t>
      </w:r>
      <w:r>
        <w:rPr>
          <w:spacing w:val="-3"/>
          <w:sz w:val="20"/>
          <w:vertAlign w:val="baseline"/>
        </w:rPr>
        <w:t> </w:t>
      </w:r>
      <w:r>
        <w:rPr>
          <w:sz w:val="20"/>
          <w:vertAlign w:val="baseline"/>
        </w:rPr>
        <w:t>mentions</w:t>
      </w:r>
      <w:r>
        <w:rPr>
          <w:spacing w:val="-2"/>
          <w:sz w:val="20"/>
          <w:vertAlign w:val="baseline"/>
        </w:rPr>
        <w:t> </w:t>
      </w:r>
      <w:r>
        <w:rPr>
          <w:sz w:val="20"/>
          <w:vertAlign w:val="baseline"/>
        </w:rPr>
        <w:t>are</w:t>
      </w:r>
      <w:r>
        <w:rPr>
          <w:spacing w:val="-3"/>
          <w:sz w:val="20"/>
          <w:vertAlign w:val="baseline"/>
        </w:rPr>
        <w:t> </w:t>
      </w:r>
      <w:r>
        <w:rPr>
          <w:sz w:val="20"/>
          <w:vertAlign w:val="baseline"/>
        </w:rPr>
        <w:t>given</w:t>
      </w:r>
      <w:r>
        <w:rPr>
          <w:spacing w:val="-3"/>
          <w:sz w:val="20"/>
          <w:vertAlign w:val="baseline"/>
        </w:rPr>
        <w:t> </w:t>
      </w:r>
      <w:r>
        <w:rPr>
          <w:sz w:val="20"/>
          <w:vertAlign w:val="baseline"/>
        </w:rPr>
        <w:t>on</w:t>
      </w:r>
      <w:r>
        <w:rPr>
          <w:spacing w:val="-3"/>
          <w:sz w:val="20"/>
          <w:vertAlign w:val="baseline"/>
        </w:rPr>
        <w:t> </w:t>
      </w:r>
      <w:r>
        <w:rPr>
          <w:sz w:val="20"/>
          <w:vertAlign w:val="baseline"/>
        </w:rPr>
        <w:t>an</w:t>
      </w:r>
      <w:r>
        <w:rPr>
          <w:spacing w:val="-1"/>
          <w:sz w:val="20"/>
          <w:vertAlign w:val="baseline"/>
        </w:rPr>
        <w:t> </w:t>
      </w:r>
      <w:r>
        <w:rPr>
          <w:sz w:val="20"/>
          <w:vertAlign w:val="baseline"/>
        </w:rPr>
        <w:t>indicative</w:t>
      </w:r>
      <w:r>
        <w:rPr>
          <w:spacing w:val="-3"/>
          <w:sz w:val="20"/>
          <w:vertAlign w:val="baseline"/>
        </w:rPr>
        <w:t> </w:t>
      </w:r>
      <w:r>
        <w:rPr>
          <w:sz w:val="20"/>
          <w:vertAlign w:val="baseline"/>
        </w:rPr>
        <w:t>basis</w:t>
      </w:r>
      <w:r>
        <w:rPr>
          <w:spacing w:val="-2"/>
          <w:sz w:val="20"/>
          <w:vertAlign w:val="baseline"/>
        </w:rPr>
        <w:t> </w:t>
      </w:r>
      <w:r>
        <w:rPr>
          <w:sz w:val="20"/>
          <w:vertAlign w:val="baseline"/>
        </w:rPr>
        <w:t>only</w:t>
      </w:r>
      <w:r>
        <w:rPr>
          <w:spacing w:val="-3"/>
          <w:sz w:val="20"/>
          <w:vertAlign w:val="baseline"/>
        </w:rPr>
        <w:t> </w:t>
      </w:r>
      <w:r>
        <w:rPr>
          <w:sz w:val="20"/>
          <w:vertAlign w:val="baseline"/>
        </w:rPr>
        <w:t>(Art.4</w:t>
      </w:r>
      <w:r>
        <w:rPr>
          <w:spacing w:val="-3"/>
          <w:sz w:val="20"/>
          <w:vertAlign w:val="baseline"/>
        </w:rPr>
        <w:t> </w:t>
      </w:r>
      <w:r>
        <w:rPr>
          <w:sz w:val="20"/>
          <w:vertAlign w:val="baseline"/>
        </w:rPr>
        <w:t>of</w:t>
      </w:r>
      <w:r>
        <w:rPr>
          <w:spacing w:val="-3"/>
          <w:sz w:val="20"/>
          <w:vertAlign w:val="baseline"/>
        </w:rPr>
        <w:t> </w:t>
      </w:r>
      <w:r>
        <w:rPr>
          <w:sz w:val="20"/>
          <w:vertAlign w:val="baseline"/>
        </w:rPr>
        <w:t>the</w:t>
      </w:r>
      <w:r>
        <w:rPr>
          <w:spacing w:val="-3"/>
          <w:sz w:val="20"/>
          <w:vertAlign w:val="baseline"/>
        </w:rPr>
        <w:t> </w:t>
      </w:r>
      <w:r>
        <w:rPr>
          <w:sz w:val="20"/>
          <w:vertAlign w:val="baseline"/>
        </w:rPr>
        <w:t>SNE</w:t>
      </w:r>
      <w:r>
        <w:rPr>
          <w:spacing w:val="-4"/>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86" w:header="0" w:top="520" w:bottom="880" w:left="480" w:right="740"/>
          <w:pgNumType w:start="1"/>
        </w:sectPr>
      </w:pPr>
    </w:p>
    <w:p>
      <w:pPr>
        <w:pStyle w:val="BodyText"/>
        <w:spacing w:before="75"/>
        <w:ind w:left="796" w:right="105"/>
        <w:jc w:val="both"/>
      </w:pPr>
      <w:r>
        <w:rPr/>
        <w:t>The following eligibility criteria must be fulfilled by the candidate in order to be seconded to the Commission. Consequently, the candidate who does not fulfil all of these criteria will be automatically eliminated from the selection process.</w:t>
      </w:r>
    </w:p>
    <w:p>
      <w:pPr>
        <w:pStyle w:val="BodyText"/>
      </w:pPr>
    </w:p>
    <w:p>
      <w:pPr>
        <w:pStyle w:val="ListParagraph"/>
        <w:numPr>
          <w:ilvl w:val="2"/>
          <w:numId w:val="2"/>
        </w:numPr>
        <w:tabs>
          <w:tab w:pos="1081" w:val="left" w:leader="none"/>
        </w:tabs>
        <w:spacing w:line="240" w:lineRule="auto" w:before="0" w:after="0"/>
        <w:ind w:left="1080" w:right="108" w:hanging="284"/>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pPr>
    </w:p>
    <w:p>
      <w:pPr>
        <w:pStyle w:val="ListParagraph"/>
        <w:numPr>
          <w:ilvl w:val="2"/>
          <w:numId w:val="2"/>
        </w:numPr>
        <w:tabs>
          <w:tab w:pos="1081" w:val="left" w:leader="none"/>
        </w:tabs>
        <w:spacing w:line="240" w:lineRule="auto" w:before="0" w:after="0"/>
        <w:ind w:left="1080" w:right="108" w:hanging="284"/>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pPr>
    </w:p>
    <w:p>
      <w:pPr>
        <w:pStyle w:val="ListParagraph"/>
        <w:numPr>
          <w:ilvl w:val="2"/>
          <w:numId w:val="2"/>
        </w:numPr>
        <w:tabs>
          <w:tab w:pos="1081" w:val="left" w:leader="none"/>
        </w:tabs>
        <w:spacing w:line="240" w:lineRule="auto" w:before="0" w:after="0"/>
        <w:ind w:left="1080" w:right="107" w:hanging="284"/>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rPr>
          <w:sz w:val="24"/>
        </w:rPr>
      </w:pPr>
    </w:p>
    <w:p>
      <w:pPr>
        <w:pStyle w:val="Heading1"/>
        <w:numPr>
          <w:ilvl w:val="1"/>
          <w:numId w:val="2"/>
        </w:numPr>
        <w:tabs>
          <w:tab w:pos="1079" w:val="left" w:leader="none"/>
        </w:tabs>
        <w:spacing w:line="240" w:lineRule="auto" w:before="0" w:after="0"/>
        <w:ind w:left="1078" w:right="0" w:hanging="283"/>
        <w:jc w:val="left"/>
      </w:pPr>
      <w:r>
        <w:rPr>
          <w:u w:val="single"/>
        </w:rPr>
        <w:t>Selection</w:t>
      </w:r>
      <w:r>
        <w:rPr>
          <w:spacing w:val="-12"/>
          <w:u w:val="single"/>
        </w:rPr>
        <w:t> </w:t>
      </w:r>
      <w:r>
        <w:rPr>
          <w:spacing w:val="-2"/>
          <w:u w:val="single"/>
        </w:rPr>
        <w:t>criteria</w:t>
      </w:r>
    </w:p>
    <w:p>
      <w:pPr>
        <w:pStyle w:val="BodyText"/>
        <w:spacing w:before="2"/>
        <w:rPr>
          <w:b/>
          <w:sz w:val="16"/>
        </w:rPr>
      </w:pPr>
    </w:p>
    <w:p>
      <w:pPr>
        <w:pStyle w:val="BodyText"/>
        <w:spacing w:before="90"/>
        <w:ind w:left="1080"/>
      </w:pPr>
      <w:r>
        <w:rPr>
          <w:spacing w:val="-2"/>
          <w:u w:val="single"/>
        </w:rPr>
        <w:t>Diploma</w:t>
      </w:r>
    </w:p>
    <w:p>
      <w:pPr>
        <w:pStyle w:val="ListParagraph"/>
        <w:numPr>
          <w:ilvl w:val="0"/>
          <w:numId w:val="3"/>
        </w:numPr>
        <w:tabs>
          <w:tab w:pos="1209" w:val="left" w:leader="none"/>
        </w:tabs>
        <w:spacing w:line="253" w:lineRule="exact" w:before="0" w:after="0"/>
        <w:ind w:left="1208" w:right="0" w:hanging="129"/>
        <w:jc w:val="left"/>
        <w:rPr>
          <w:sz w:val="22"/>
        </w:rPr>
      </w:pPr>
      <w:r>
        <w:rPr>
          <w:sz w:val="22"/>
        </w:rPr>
        <w:t>university</w:t>
      </w:r>
      <w:r>
        <w:rPr>
          <w:spacing w:val="-10"/>
          <w:sz w:val="22"/>
        </w:rPr>
        <w:t> </w:t>
      </w:r>
      <w:r>
        <w:rPr>
          <w:sz w:val="22"/>
        </w:rPr>
        <w:t>degree</w:t>
      </w:r>
      <w:r>
        <w:rPr>
          <w:spacing w:val="-11"/>
          <w:sz w:val="22"/>
        </w:rPr>
        <w:t> </w:t>
      </w:r>
      <w:r>
        <w:rPr>
          <w:spacing w:val="-5"/>
          <w:sz w:val="22"/>
        </w:rPr>
        <w:t>or</w:t>
      </w:r>
    </w:p>
    <w:p>
      <w:pPr>
        <w:pStyle w:val="ListParagraph"/>
        <w:numPr>
          <w:ilvl w:val="0"/>
          <w:numId w:val="3"/>
        </w:numPr>
        <w:tabs>
          <w:tab w:pos="1209" w:val="left" w:leader="none"/>
        </w:tabs>
        <w:spacing w:line="480" w:lineRule="auto" w:before="0" w:after="0"/>
        <w:ind w:left="1190" w:right="3330" w:hanging="111"/>
        <w:jc w:val="left"/>
        <w:rPr>
          <w:sz w:val="22"/>
        </w:rPr>
      </w:pPr>
      <w:r>
        <w:rPr>
          <w:sz w:val="22"/>
        </w:rPr>
        <w:t>professional</w:t>
      </w:r>
      <w:r>
        <w:rPr>
          <w:spacing w:val="-2"/>
          <w:sz w:val="22"/>
        </w:rPr>
        <w:t> </w:t>
      </w:r>
      <w:r>
        <w:rPr>
          <w:sz w:val="22"/>
        </w:rPr>
        <w:t>training</w:t>
      </w:r>
      <w:r>
        <w:rPr>
          <w:spacing w:val="-2"/>
          <w:sz w:val="22"/>
        </w:rPr>
        <w:t> </w:t>
      </w:r>
      <w:r>
        <w:rPr>
          <w:sz w:val="22"/>
        </w:rPr>
        <w:t>or</w:t>
      </w:r>
      <w:r>
        <w:rPr>
          <w:spacing w:val="-3"/>
          <w:sz w:val="22"/>
        </w:rPr>
        <w:t> </w:t>
      </w:r>
      <w:r>
        <w:rPr>
          <w:sz w:val="22"/>
        </w:rPr>
        <w:t>professional</w:t>
      </w:r>
      <w:r>
        <w:rPr>
          <w:spacing w:val="-2"/>
          <w:sz w:val="22"/>
        </w:rPr>
        <w:t> </w:t>
      </w:r>
      <w:r>
        <w:rPr>
          <w:sz w:val="22"/>
        </w:rPr>
        <w:t>experience</w:t>
      </w:r>
      <w:r>
        <w:rPr>
          <w:spacing w:val="-3"/>
          <w:sz w:val="22"/>
        </w:rPr>
        <w:t> </w:t>
      </w:r>
      <w:r>
        <w:rPr>
          <w:sz w:val="22"/>
        </w:rPr>
        <w:t>of</w:t>
      </w:r>
      <w:r>
        <w:rPr>
          <w:spacing w:val="-2"/>
          <w:sz w:val="22"/>
        </w:rPr>
        <w:t> </w:t>
      </w:r>
      <w:r>
        <w:rPr>
          <w:sz w:val="22"/>
        </w:rPr>
        <w:t>an</w:t>
      </w:r>
      <w:r>
        <w:rPr>
          <w:spacing w:val="-2"/>
          <w:sz w:val="22"/>
        </w:rPr>
        <w:t> </w:t>
      </w:r>
      <w:r>
        <w:rPr>
          <w:sz w:val="22"/>
        </w:rPr>
        <w:t>equivalent</w:t>
      </w:r>
      <w:r>
        <w:rPr>
          <w:spacing w:val="-2"/>
          <w:sz w:val="22"/>
        </w:rPr>
        <w:t> </w:t>
      </w:r>
      <w:r>
        <w:rPr>
          <w:sz w:val="22"/>
        </w:rPr>
        <w:t>level in the field(s) : Social sciences, economics or law</w:t>
      </w:r>
    </w:p>
    <w:p>
      <w:pPr>
        <w:pStyle w:val="BodyText"/>
        <w:spacing w:before="1"/>
        <w:ind w:left="1080"/>
      </w:pPr>
      <w:r>
        <w:rPr>
          <w:spacing w:val="-2"/>
          <w:u w:val="single"/>
        </w:rPr>
        <w:t>Professional</w:t>
      </w:r>
      <w:r>
        <w:rPr>
          <w:spacing w:val="9"/>
          <w:u w:val="single"/>
        </w:rPr>
        <w:t> </w:t>
      </w:r>
      <w:r>
        <w:rPr>
          <w:spacing w:val="-2"/>
          <w:u w:val="single"/>
        </w:rPr>
        <w:t>experience</w:t>
      </w:r>
    </w:p>
    <w:p>
      <w:pPr>
        <w:pStyle w:val="BodyText"/>
        <w:spacing w:before="9"/>
        <w:rPr>
          <w:sz w:val="13"/>
        </w:rPr>
      </w:pPr>
    </w:p>
    <w:p>
      <w:pPr>
        <w:spacing w:before="94"/>
        <w:ind w:left="1078" w:right="156" w:firstLine="0"/>
        <w:jc w:val="left"/>
        <w:rPr>
          <w:rFonts w:ascii="Arial"/>
          <w:sz w:val="20"/>
        </w:rPr>
      </w:pPr>
      <w:r>
        <w:rPr>
          <w:rFonts w:ascii="Arial"/>
          <w:sz w:val="20"/>
        </w:rPr>
        <w:t>Prior</w:t>
      </w:r>
      <w:r>
        <w:rPr>
          <w:rFonts w:ascii="Arial"/>
          <w:spacing w:val="-2"/>
          <w:sz w:val="20"/>
        </w:rPr>
        <w:t> </w:t>
      </w:r>
      <w:r>
        <w:rPr>
          <w:rFonts w:ascii="Arial"/>
          <w:sz w:val="20"/>
        </w:rPr>
        <w:t>professional</w:t>
      </w:r>
      <w:r>
        <w:rPr>
          <w:rFonts w:ascii="Arial"/>
          <w:spacing w:val="-3"/>
          <w:sz w:val="20"/>
        </w:rPr>
        <w:t> </w:t>
      </w:r>
      <w:r>
        <w:rPr>
          <w:rFonts w:ascii="Arial"/>
          <w:sz w:val="20"/>
        </w:rPr>
        <w:t>experience</w:t>
      </w:r>
      <w:r>
        <w:rPr>
          <w:rFonts w:ascii="Arial"/>
          <w:spacing w:val="-3"/>
          <w:sz w:val="20"/>
        </w:rPr>
        <w:t> </w:t>
      </w:r>
      <w:r>
        <w:rPr>
          <w:rFonts w:ascii="Arial"/>
          <w:sz w:val="20"/>
        </w:rPr>
        <w:t>with</w:t>
      </w:r>
      <w:r>
        <w:rPr>
          <w:rFonts w:ascii="Arial"/>
          <w:spacing w:val="-4"/>
          <w:sz w:val="20"/>
        </w:rPr>
        <w:t> </w:t>
      </w:r>
      <w:r>
        <w:rPr>
          <w:rFonts w:ascii="Arial"/>
          <w:sz w:val="20"/>
        </w:rPr>
        <w:t>single</w:t>
      </w:r>
      <w:r>
        <w:rPr>
          <w:rFonts w:ascii="Arial"/>
          <w:spacing w:val="-4"/>
          <w:sz w:val="20"/>
        </w:rPr>
        <w:t> </w:t>
      </w:r>
      <w:r>
        <w:rPr>
          <w:rFonts w:ascii="Arial"/>
          <w:sz w:val="20"/>
        </w:rPr>
        <w:t>market</w:t>
      </w:r>
      <w:r>
        <w:rPr>
          <w:rFonts w:ascii="Arial"/>
          <w:spacing w:val="-3"/>
          <w:sz w:val="20"/>
        </w:rPr>
        <w:t> </w:t>
      </w:r>
      <w:r>
        <w:rPr>
          <w:rFonts w:ascii="Arial"/>
          <w:sz w:val="20"/>
        </w:rPr>
        <w:t>policies</w:t>
      </w:r>
      <w:r>
        <w:rPr>
          <w:rFonts w:ascii="Arial"/>
          <w:spacing w:val="-2"/>
          <w:sz w:val="20"/>
        </w:rPr>
        <w:t> </w:t>
      </w:r>
      <w:r>
        <w:rPr>
          <w:rFonts w:ascii="Arial"/>
          <w:sz w:val="20"/>
        </w:rPr>
        <w:t>and</w:t>
      </w:r>
      <w:r>
        <w:rPr>
          <w:rFonts w:ascii="Arial"/>
          <w:spacing w:val="-3"/>
          <w:sz w:val="20"/>
        </w:rPr>
        <w:t> </w:t>
      </w:r>
      <w:r>
        <w:rPr>
          <w:rFonts w:ascii="Arial"/>
          <w:sz w:val="20"/>
        </w:rPr>
        <w:t>regulation</w:t>
      </w:r>
      <w:r>
        <w:rPr>
          <w:rFonts w:ascii="Arial"/>
          <w:spacing w:val="-3"/>
          <w:sz w:val="20"/>
        </w:rPr>
        <w:t> </w:t>
      </w:r>
      <w:r>
        <w:rPr>
          <w:rFonts w:ascii="Arial"/>
          <w:sz w:val="20"/>
        </w:rPr>
        <w:t>in</w:t>
      </w:r>
      <w:r>
        <w:rPr>
          <w:rFonts w:ascii="Arial"/>
          <w:spacing w:val="-3"/>
          <w:sz w:val="20"/>
        </w:rPr>
        <w:t> </w:t>
      </w:r>
      <w:r>
        <w:rPr>
          <w:rFonts w:ascii="Arial"/>
          <w:sz w:val="20"/>
        </w:rPr>
        <w:t>the</w:t>
      </w:r>
      <w:r>
        <w:rPr>
          <w:rFonts w:ascii="Arial"/>
          <w:spacing w:val="-3"/>
          <w:sz w:val="20"/>
        </w:rPr>
        <w:t> </w:t>
      </w:r>
      <w:r>
        <w:rPr>
          <w:rFonts w:ascii="Arial"/>
          <w:sz w:val="20"/>
        </w:rPr>
        <w:t>administration</w:t>
      </w:r>
      <w:r>
        <w:rPr>
          <w:rFonts w:ascii="Arial"/>
          <w:spacing w:val="-3"/>
          <w:sz w:val="20"/>
        </w:rPr>
        <w:t> </w:t>
      </w:r>
      <w:r>
        <w:rPr>
          <w:rFonts w:ascii="Arial"/>
          <w:sz w:val="20"/>
        </w:rPr>
        <w:t>of</w:t>
      </w:r>
      <w:r>
        <w:rPr>
          <w:rFonts w:ascii="Arial"/>
          <w:spacing w:val="-3"/>
          <w:sz w:val="20"/>
        </w:rPr>
        <w:t> </w:t>
      </w:r>
      <w:r>
        <w:rPr>
          <w:rFonts w:ascii="Arial"/>
          <w:sz w:val="20"/>
        </w:rPr>
        <w:t>a</w:t>
      </w:r>
      <w:r>
        <w:rPr>
          <w:rFonts w:ascii="Arial"/>
          <w:spacing w:val="-3"/>
          <w:sz w:val="20"/>
        </w:rPr>
        <w:t> </w:t>
      </w:r>
      <w:r>
        <w:rPr>
          <w:rFonts w:ascii="Arial"/>
          <w:sz w:val="20"/>
        </w:rPr>
        <w:t>Member State is desirable, in particular in relation to the services single market. A good understanding of the political environment in which EU services policies are pursued as well as an understanding of services markets and their functioning are key advantages. Experience in working with the EU institutions and processes is an asset.</w:t>
      </w:r>
    </w:p>
    <w:p>
      <w:pPr>
        <w:pStyle w:val="BodyText"/>
        <w:spacing w:before="11"/>
        <w:rPr>
          <w:rFonts w:ascii="Arial"/>
          <w:sz w:val="21"/>
        </w:rPr>
      </w:pPr>
    </w:p>
    <w:p>
      <w:pPr>
        <w:pStyle w:val="BodyText"/>
        <w:ind w:left="1080"/>
      </w:pPr>
      <w:r>
        <w:rPr>
          <w:u w:val="single"/>
        </w:rPr>
        <w:t>Language(s)</w:t>
      </w:r>
      <w:r>
        <w:rPr>
          <w:spacing w:val="-9"/>
          <w:u w:val="single"/>
        </w:rPr>
        <w:t> </w:t>
      </w:r>
      <w:r>
        <w:rPr>
          <w:u w:val="single"/>
        </w:rPr>
        <w:t>necessary</w:t>
      </w:r>
      <w:r>
        <w:rPr>
          <w:spacing w:val="-8"/>
          <w:u w:val="single"/>
        </w:rPr>
        <w:t> </w:t>
      </w:r>
      <w:r>
        <w:rPr>
          <w:u w:val="single"/>
        </w:rPr>
        <w:t>for</w:t>
      </w:r>
      <w:r>
        <w:rPr>
          <w:spacing w:val="-8"/>
          <w:u w:val="single"/>
        </w:rPr>
        <w:t> </w:t>
      </w:r>
      <w:r>
        <w:rPr>
          <w:u w:val="single"/>
        </w:rPr>
        <w:t>the</w:t>
      </w:r>
      <w:r>
        <w:rPr>
          <w:spacing w:val="-9"/>
          <w:u w:val="single"/>
        </w:rPr>
        <w:t> </w:t>
      </w:r>
      <w:r>
        <w:rPr>
          <w:u w:val="single"/>
        </w:rPr>
        <w:t>performance</w:t>
      </w:r>
      <w:r>
        <w:rPr>
          <w:spacing w:val="-9"/>
          <w:u w:val="single"/>
        </w:rPr>
        <w:t> </w:t>
      </w:r>
      <w:r>
        <w:rPr>
          <w:u w:val="single"/>
        </w:rPr>
        <w:t>of</w:t>
      </w:r>
      <w:r>
        <w:rPr>
          <w:spacing w:val="-8"/>
          <w:u w:val="single"/>
        </w:rPr>
        <w:t> </w:t>
      </w:r>
      <w:r>
        <w:rPr>
          <w:spacing w:val="-2"/>
          <w:u w:val="single"/>
        </w:rPr>
        <w:t>duties</w:t>
      </w:r>
    </w:p>
    <w:p>
      <w:pPr>
        <w:pStyle w:val="BodyText"/>
        <w:spacing w:before="2"/>
        <w:rPr>
          <w:sz w:val="14"/>
        </w:rPr>
      </w:pPr>
    </w:p>
    <w:p>
      <w:pPr>
        <w:pStyle w:val="BodyText"/>
        <w:spacing w:before="90"/>
        <w:ind w:left="1080"/>
      </w:pPr>
      <w:r>
        <w:rPr/>
        <w:t>English</w:t>
      </w:r>
      <w:r>
        <w:rPr>
          <w:spacing w:val="-6"/>
        </w:rPr>
        <w:t> </w:t>
      </w:r>
      <w:r>
        <w:rPr/>
        <w:t>plus</w:t>
      </w:r>
      <w:r>
        <w:rPr>
          <w:spacing w:val="-8"/>
        </w:rPr>
        <w:t> </w:t>
      </w:r>
      <w:r>
        <w:rPr/>
        <w:t>at</w:t>
      </w:r>
      <w:r>
        <w:rPr>
          <w:spacing w:val="-6"/>
        </w:rPr>
        <w:t> </w:t>
      </w:r>
      <w:r>
        <w:rPr/>
        <w:t>least</w:t>
      </w:r>
      <w:r>
        <w:rPr>
          <w:spacing w:val="-6"/>
        </w:rPr>
        <w:t> </w:t>
      </w:r>
      <w:r>
        <w:rPr/>
        <w:t>one</w:t>
      </w:r>
      <w:r>
        <w:rPr>
          <w:spacing w:val="-7"/>
        </w:rPr>
        <w:t> </w:t>
      </w:r>
      <w:r>
        <w:rPr/>
        <w:t>other</w:t>
      </w:r>
      <w:r>
        <w:rPr>
          <w:spacing w:val="-6"/>
        </w:rPr>
        <w:t> </w:t>
      </w:r>
      <w:r>
        <w:rPr/>
        <w:t>EU</w:t>
      </w:r>
      <w:r>
        <w:rPr>
          <w:spacing w:val="-7"/>
        </w:rPr>
        <w:t> </w:t>
      </w:r>
      <w:r>
        <w:rPr/>
        <w:t>official</w:t>
      </w:r>
      <w:r>
        <w:rPr>
          <w:spacing w:val="-6"/>
        </w:rPr>
        <w:t> </w:t>
      </w:r>
      <w:r>
        <w:rPr/>
        <w:t>language</w:t>
      </w:r>
      <w:r>
        <w:rPr>
          <w:spacing w:val="-6"/>
        </w:rPr>
        <w:t> </w:t>
      </w:r>
      <w:r>
        <w:rPr/>
        <w:t>(French</w:t>
      </w:r>
      <w:r>
        <w:rPr>
          <w:spacing w:val="-6"/>
        </w:rPr>
        <w:t> </w:t>
      </w:r>
      <w:r>
        <w:rPr/>
        <w:t>an</w:t>
      </w:r>
      <w:r>
        <w:rPr>
          <w:spacing w:val="-6"/>
        </w:rPr>
        <w:t> </w:t>
      </w:r>
      <w:r>
        <w:rPr>
          <w:spacing w:val="-2"/>
        </w:rPr>
        <w:t>asset)</w:t>
      </w:r>
    </w:p>
    <w:p>
      <w:pPr>
        <w:pStyle w:val="BodyText"/>
        <w:rPr>
          <w:sz w:val="24"/>
        </w:rPr>
      </w:pPr>
    </w:p>
    <w:p>
      <w:pPr>
        <w:pStyle w:val="BodyText"/>
        <w:spacing w:before="1"/>
        <w:rPr>
          <w:sz w:val="20"/>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Submission</w:t>
      </w:r>
      <w:r>
        <w:rPr>
          <w:b/>
          <w:spacing w:val="-4"/>
          <w:sz w:val="24"/>
          <w:u w:val="single"/>
        </w:rPr>
        <w:t> </w:t>
      </w:r>
      <w:r>
        <w:rPr>
          <w:b/>
          <w:sz w:val="24"/>
          <w:u w:val="single"/>
        </w:rPr>
        <w:t>of</w:t>
      </w:r>
      <w:r>
        <w:rPr>
          <w:b/>
          <w:spacing w:val="-2"/>
          <w:sz w:val="24"/>
          <w:u w:val="single"/>
        </w:rPr>
        <w:t> </w:t>
      </w:r>
      <w:r>
        <w:rPr>
          <w:b/>
          <w:sz w:val="24"/>
          <w:u w:val="single"/>
        </w:rPr>
        <w:t>applications</w:t>
      </w:r>
      <w:r>
        <w:rPr>
          <w:b/>
          <w:spacing w:val="-3"/>
          <w:sz w:val="24"/>
          <w:u w:val="single"/>
        </w:rPr>
        <w:t> </w:t>
      </w:r>
      <w:r>
        <w:rPr>
          <w:b/>
          <w:sz w:val="24"/>
          <w:u w:val="single"/>
        </w:rPr>
        <w:t>and</w:t>
      </w:r>
      <w:r>
        <w:rPr>
          <w:b/>
          <w:spacing w:val="-2"/>
          <w:sz w:val="24"/>
          <w:u w:val="single"/>
        </w:rPr>
        <w:t> </w:t>
      </w:r>
      <w:r>
        <w:rPr>
          <w:b/>
          <w:sz w:val="24"/>
          <w:u w:val="single"/>
        </w:rPr>
        <w:t>selection</w:t>
      </w:r>
      <w:r>
        <w:rPr>
          <w:b/>
          <w:spacing w:val="-3"/>
          <w:sz w:val="24"/>
          <w:u w:val="single"/>
        </w:rPr>
        <w:t> </w:t>
      </w:r>
      <w:r>
        <w:rPr>
          <w:b/>
          <w:spacing w:val="-2"/>
          <w:sz w:val="24"/>
          <w:u w:val="single"/>
        </w:rPr>
        <w:t>procedure</w:t>
      </w:r>
    </w:p>
    <w:p>
      <w:pPr>
        <w:pStyle w:val="BodyText"/>
        <w:rPr>
          <w:b/>
          <w:sz w:val="16"/>
        </w:rPr>
      </w:pPr>
    </w:p>
    <w:p>
      <w:pPr>
        <w:spacing w:before="91"/>
        <w:ind w:left="796" w:right="284"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 Permanent Representation /</w:t>
      </w:r>
      <w:r>
        <w:rPr>
          <w:b/>
          <w:spacing w:val="-1"/>
          <w:sz w:val="22"/>
          <w:u w:val="single"/>
        </w:rPr>
        <w:t> </w:t>
      </w:r>
      <w:r>
        <w:rPr>
          <w:b/>
          <w:sz w:val="22"/>
          <w:u w:val="single"/>
        </w:rPr>
        <w:t>Diplomatic Mission to the EU</w:t>
      </w:r>
      <w:r>
        <w:rPr>
          <w:b/>
          <w:spacing w:val="-1"/>
          <w:sz w:val="22"/>
          <w:u w:val="single"/>
        </w:rPr>
        <w:t> </w:t>
      </w:r>
      <w:r>
        <w:rPr>
          <w:b/>
          <w:sz w:val="22"/>
          <w:u w:val="single"/>
        </w:rPr>
        <w:t>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ind w:left="796" w:right="156"/>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 certificate of professional experience, etc.). If necessary, these will be requested at a later stage.</w:t>
      </w:r>
    </w:p>
    <w:p>
      <w:pPr>
        <w:pStyle w:val="BodyText"/>
        <w:spacing w:before="1"/>
        <w:ind w:left="796"/>
      </w:pPr>
      <w:r>
        <w:rPr/>
        <w:t>Candidates</w:t>
      </w:r>
      <w:r>
        <w:rPr>
          <w:spacing w:val="-7"/>
        </w:rPr>
        <w:t> </w:t>
      </w:r>
      <w:r>
        <w:rPr/>
        <w:t>will</w:t>
      </w:r>
      <w:r>
        <w:rPr>
          <w:spacing w:val="-6"/>
        </w:rPr>
        <w:t> </w:t>
      </w:r>
      <w:r>
        <w:rPr/>
        <w:t>be</w:t>
      </w:r>
      <w:r>
        <w:rPr>
          <w:spacing w:val="-7"/>
        </w:rPr>
        <w:t> </w:t>
      </w:r>
      <w:r>
        <w:rPr/>
        <w:t>informed</w:t>
      </w:r>
      <w:r>
        <w:rPr>
          <w:spacing w:val="-6"/>
        </w:rPr>
        <w:t> </w:t>
      </w:r>
      <w:r>
        <w:rPr/>
        <w:t>of</w:t>
      </w:r>
      <w:r>
        <w:rPr>
          <w:spacing w:val="-6"/>
        </w:rPr>
        <w:t> </w:t>
      </w:r>
      <w:r>
        <w:rPr/>
        <w:t>the</w:t>
      </w:r>
      <w:r>
        <w:rPr>
          <w:spacing w:val="-6"/>
        </w:rPr>
        <w:t> </w:t>
      </w:r>
      <w:r>
        <w:rPr/>
        <w:t>follow-up</w:t>
      </w:r>
      <w:r>
        <w:rPr>
          <w:spacing w:val="-6"/>
        </w:rPr>
        <w:t> </w:t>
      </w:r>
      <w:r>
        <w:rPr/>
        <w:t>of</w:t>
      </w:r>
      <w:r>
        <w:rPr>
          <w:spacing w:val="-6"/>
        </w:rPr>
        <w:t> </w:t>
      </w:r>
      <w:r>
        <w:rPr/>
        <w:t>their</w:t>
      </w:r>
      <w:r>
        <w:rPr>
          <w:spacing w:val="-7"/>
        </w:rPr>
        <w:t> </w:t>
      </w:r>
      <w:r>
        <w:rPr/>
        <w:t>application</w:t>
      </w:r>
      <w:r>
        <w:rPr>
          <w:spacing w:val="-6"/>
        </w:rPr>
        <w:t> </w:t>
      </w:r>
      <w:r>
        <w:rPr/>
        <w:t>by</w:t>
      </w:r>
      <w:r>
        <w:rPr>
          <w:spacing w:val="-5"/>
        </w:rPr>
        <w:t> </w:t>
      </w:r>
      <w:r>
        <w:rPr/>
        <w:t>the</w:t>
      </w:r>
      <w:r>
        <w:rPr>
          <w:spacing w:val="-7"/>
        </w:rPr>
        <w:t> </w:t>
      </w:r>
      <w:r>
        <w:rPr/>
        <w:t>unit</w:t>
      </w:r>
      <w:r>
        <w:rPr>
          <w:spacing w:val="-6"/>
        </w:rPr>
        <w:t> </w:t>
      </w:r>
      <w:r>
        <w:rPr>
          <w:spacing w:val="-2"/>
        </w:rPr>
        <w:t>concerned.</w:t>
      </w: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Conditions</w:t>
      </w:r>
      <w:r>
        <w:rPr>
          <w:b/>
          <w:spacing w:val="-2"/>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2"/>
          <w:sz w:val="24"/>
          <w:u w:val="single"/>
        </w:rPr>
        <w:t>secondment</w:t>
      </w:r>
    </w:p>
    <w:p>
      <w:pPr>
        <w:pStyle w:val="BodyText"/>
        <w:spacing w:before="1"/>
        <w:rPr>
          <w:b/>
          <w:sz w:val="16"/>
        </w:rPr>
      </w:pPr>
    </w:p>
    <w:p>
      <w:pPr>
        <w:spacing w:before="91"/>
        <w:ind w:left="796" w:right="284"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6" w:right="285"/>
        <w:jc w:val="both"/>
      </w:pPr>
      <w:r>
        <w:rPr/>
        <w:t>The SNE will remain employed and remunerated by his/her employer during the secondment. He/she will equally remain covered by the national social security system.</w:t>
      </w:r>
    </w:p>
    <w:p>
      <w:pPr>
        <w:spacing w:after="0"/>
        <w:jc w:val="both"/>
        <w:sectPr>
          <w:pgSz w:w="11910" w:h="16840"/>
          <w:pgMar w:header="0" w:footer="686" w:top="1040" w:bottom="880" w:left="480" w:right="740"/>
        </w:sectPr>
      </w:pPr>
    </w:p>
    <w:p>
      <w:pPr>
        <w:pStyle w:val="BodyText"/>
        <w:spacing w:before="75"/>
        <w:ind w:left="796" w:right="284"/>
        <w:jc w:val="both"/>
      </w:pPr>
      <w:r>
        <w:rPr/>
        <w:t>Unless for cost-free SNE, allowances may be granted by the Commission to SNE fulfilling the conditions provided for in Art. 17 of the SNE decision.</w:t>
      </w:r>
    </w:p>
    <w:p>
      <w:pPr>
        <w:pStyle w:val="BodyText"/>
        <w:spacing w:before="11"/>
        <w:rPr>
          <w:sz w:val="21"/>
        </w:rPr>
      </w:pPr>
    </w:p>
    <w:p>
      <w:pPr>
        <w:pStyle w:val="BodyText"/>
        <w:ind w:left="796" w:right="284"/>
        <w:jc w:val="both"/>
      </w:pPr>
      <w:r>
        <w:rPr/>
        <w:t>During the secondment, SNE are subject to confidentiality, loyalty and absence of conflict of interest obligations, as provided for in Art. 6 and 7 of the SNE Decision.</w:t>
      </w:r>
    </w:p>
    <w:p>
      <w:pPr>
        <w:pStyle w:val="BodyText"/>
        <w:spacing w:before="1"/>
        <w:ind w:left="796"/>
        <w:jc w:val="both"/>
      </w:pPr>
      <w:r>
        <w:rPr/>
        <w:t>If</w:t>
      </w:r>
      <w:r>
        <w:rPr>
          <w:spacing w:val="-7"/>
        </w:rPr>
        <w:t> </w:t>
      </w:r>
      <w:r>
        <w:rPr/>
        <w:t>any</w:t>
      </w:r>
      <w:r>
        <w:rPr>
          <w:spacing w:val="-7"/>
        </w:rPr>
        <w:t> </w:t>
      </w:r>
      <w:r>
        <w:rPr/>
        <w:t>document</w:t>
      </w:r>
      <w:r>
        <w:rPr>
          <w:spacing w:val="-6"/>
        </w:rPr>
        <w:t> </w:t>
      </w:r>
      <w:r>
        <w:rPr/>
        <w:t>is</w:t>
      </w:r>
      <w:r>
        <w:rPr>
          <w:spacing w:val="-8"/>
        </w:rPr>
        <w:t> </w:t>
      </w:r>
      <w:r>
        <w:rPr/>
        <w:t>inexact,</w:t>
      </w:r>
      <w:r>
        <w:rPr>
          <w:spacing w:val="-6"/>
        </w:rPr>
        <w:t> </w:t>
      </w:r>
      <w:r>
        <w:rPr/>
        <w:t>incomplete</w:t>
      </w:r>
      <w:r>
        <w:rPr>
          <w:spacing w:val="-8"/>
        </w:rPr>
        <w:t> </w:t>
      </w:r>
      <w:r>
        <w:rPr/>
        <w:t>or</w:t>
      </w:r>
      <w:r>
        <w:rPr>
          <w:spacing w:val="-6"/>
        </w:rPr>
        <w:t> </w:t>
      </w:r>
      <w:r>
        <w:rPr/>
        <w:t>missing,</w:t>
      </w:r>
      <w:r>
        <w:rPr>
          <w:spacing w:val="-7"/>
        </w:rPr>
        <w:t> </w:t>
      </w:r>
      <w:r>
        <w:rPr/>
        <w:t>the</w:t>
      </w:r>
      <w:r>
        <w:rPr>
          <w:spacing w:val="-7"/>
        </w:rPr>
        <w:t> </w:t>
      </w:r>
      <w:r>
        <w:rPr/>
        <w:t>application</w:t>
      </w:r>
      <w:r>
        <w:rPr>
          <w:spacing w:val="-8"/>
        </w:rPr>
        <w:t> </w:t>
      </w:r>
      <w:r>
        <w:rPr/>
        <w:t>may</w:t>
      </w:r>
      <w:r>
        <w:rPr>
          <w:spacing w:val="-6"/>
        </w:rPr>
        <w:t> </w:t>
      </w:r>
      <w:r>
        <w:rPr/>
        <w:t>be</w:t>
      </w:r>
      <w:r>
        <w:rPr>
          <w:spacing w:val="-8"/>
        </w:rPr>
        <w:t> </w:t>
      </w:r>
      <w:r>
        <w:rPr>
          <w:spacing w:val="-2"/>
        </w:rPr>
        <w:t>cancelled.</w:t>
      </w:r>
    </w:p>
    <w:p>
      <w:pPr>
        <w:pStyle w:val="BodyText"/>
      </w:pPr>
    </w:p>
    <w:p>
      <w:pPr>
        <w:pStyle w:val="BodyText"/>
        <w:ind w:left="796" w:right="282"/>
        <w:jc w:val="both"/>
      </w:pPr>
      <w:r>
        <w:rPr/>
        <w:t>Staff posted in a </w:t>
      </w:r>
      <w:r>
        <w:rPr>
          <w:b/>
        </w:rPr>
        <w:t>European Union Delegation </w:t>
      </w:r>
      <w:r>
        <w:rPr/>
        <w:t>are required to have a security clearance (up to SECRET UE/EU</w:t>
      </w:r>
      <w:r>
        <w:rPr>
          <w:spacing w:val="-2"/>
        </w:rPr>
        <w:t> </w:t>
      </w:r>
      <w:r>
        <w:rPr/>
        <w:t>SECRET</w:t>
      </w:r>
      <w:r>
        <w:rPr>
          <w:spacing w:val="-2"/>
        </w:rPr>
        <w:t> </w:t>
      </w:r>
      <w:r>
        <w:rPr/>
        <w:t>level</w:t>
      </w:r>
      <w:r>
        <w:rPr>
          <w:spacing w:val="-2"/>
        </w:rPr>
        <w:t> </w:t>
      </w:r>
      <w:r>
        <w:rPr/>
        <w:t>according</w:t>
      </w:r>
      <w:r>
        <w:rPr>
          <w:spacing w:val="-1"/>
        </w:rPr>
        <w:t> </w:t>
      </w:r>
      <w:r>
        <w:rPr/>
        <w:t>to</w:t>
      </w:r>
      <w:r>
        <w:rPr>
          <w:spacing w:val="-1"/>
        </w:rPr>
        <w:t> </w:t>
      </w:r>
      <w:r>
        <w:rPr/>
        <w:t>Commission</w:t>
      </w:r>
      <w:r>
        <w:rPr>
          <w:spacing w:val="-1"/>
        </w:rPr>
        <w:t> </w:t>
      </w:r>
      <w:r>
        <w:rPr/>
        <w:t>Decision</w:t>
      </w:r>
      <w:r>
        <w:rPr>
          <w:spacing w:val="-1"/>
        </w:rPr>
        <w:t> </w:t>
      </w:r>
      <w:r>
        <w:rPr/>
        <w:t>(EU,</w:t>
      </w:r>
      <w:r>
        <w:rPr>
          <w:spacing w:val="-2"/>
        </w:rPr>
        <w:t> </w:t>
      </w:r>
      <w:r>
        <w:rPr/>
        <w:t>Euratom)</w:t>
      </w:r>
      <w:r>
        <w:rPr>
          <w:spacing w:val="-2"/>
        </w:rPr>
        <w:t> </w:t>
      </w:r>
      <w:r>
        <w:rPr/>
        <w:t>2015/444</w:t>
      </w:r>
      <w:r>
        <w:rPr>
          <w:spacing w:val="-3"/>
        </w:rPr>
        <w:t> </w:t>
      </w:r>
      <w:r>
        <w:rPr/>
        <w:t>of</w:t>
      </w:r>
      <w:r>
        <w:rPr>
          <w:spacing w:val="-2"/>
        </w:rPr>
        <w:t> </w:t>
      </w:r>
      <w:r>
        <w:rPr/>
        <w:t>13</w:t>
      </w:r>
      <w:r>
        <w:rPr>
          <w:spacing w:val="-1"/>
        </w:rPr>
        <w:t> </w:t>
      </w:r>
      <w:r>
        <w:rPr/>
        <w:t>March</w:t>
      </w:r>
      <w:r>
        <w:rPr>
          <w:spacing w:val="-1"/>
        </w:rPr>
        <w:t> </w:t>
      </w:r>
      <w:r>
        <w:rPr/>
        <w:t>2015,</w:t>
      </w:r>
      <w:r>
        <w:rPr>
          <w:spacing w:val="-3"/>
        </w:rPr>
        <w:t> </w:t>
      </w:r>
      <w:r>
        <w:rPr/>
        <w:t>OJ</w:t>
      </w:r>
      <w:r>
        <w:rPr>
          <w:spacing w:val="-4"/>
        </w:rPr>
        <w:t> </w:t>
      </w:r>
      <w:r>
        <w:rPr/>
        <w:t>L 72, 17.03.2015, p. 53).</w:t>
      </w:r>
    </w:p>
    <w:p>
      <w:pPr>
        <w:pStyle w:val="BodyText"/>
        <w:ind w:left="796" w:right="108"/>
        <w:jc w:val="both"/>
      </w:pPr>
      <w:r>
        <w:rPr/>
        <w:t>The selected candidate has the obligation to launch the vetting procedure before getting the secondment </w:t>
      </w:r>
      <w:r>
        <w:rPr>
          <w:spacing w:val="-2"/>
        </w:rPr>
        <w:t>confirmation.</w:t>
      </w:r>
    </w:p>
    <w:p>
      <w:pPr>
        <w:pStyle w:val="BodyText"/>
        <w:rPr>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Processing</w:t>
      </w:r>
      <w:r>
        <w:rPr>
          <w:b/>
          <w:spacing w:val="-4"/>
          <w:sz w:val="24"/>
          <w:u w:val="single"/>
        </w:rPr>
        <w:t> </w:t>
      </w:r>
      <w:r>
        <w:rPr>
          <w:b/>
          <w:sz w:val="24"/>
          <w:u w:val="single"/>
        </w:rPr>
        <w:t>of</w:t>
      </w:r>
      <w:r>
        <w:rPr>
          <w:b/>
          <w:spacing w:val="-1"/>
          <w:sz w:val="24"/>
          <w:u w:val="single"/>
        </w:rPr>
        <w:t> </w:t>
      </w:r>
      <w:r>
        <w:rPr>
          <w:b/>
          <w:sz w:val="24"/>
          <w:u w:val="single"/>
        </w:rPr>
        <w:t>personal</w:t>
      </w:r>
      <w:r>
        <w:rPr>
          <w:b/>
          <w:spacing w:val="-2"/>
          <w:sz w:val="24"/>
          <w:u w:val="single"/>
        </w:rPr>
        <w:t> </w:t>
      </w:r>
      <w:r>
        <w:rPr>
          <w:b/>
          <w:spacing w:val="-4"/>
          <w:sz w:val="24"/>
          <w:u w:val="single"/>
        </w:rPr>
        <w:t>data</w:t>
      </w:r>
    </w:p>
    <w:p>
      <w:pPr>
        <w:pStyle w:val="BodyText"/>
        <w:spacing w:before="1"/>
        <w:rPr>
          <w:b/>
          <w:sz w:val="16"/>
        </w:rPr>
      </w:pPr>
    </w:p>
    <w:p>
      <w:pPr>
        <w:pStyle w:val="BodyText"/>
        <w:spacing w:before="91"/>
        <w:ind w:left="796" w:right="282"/>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ind w:left="796" w:right="284"/>
        <w:jc w:val="both"/>
      </w:pPr>
      <w:r>
        <w:rPr/>
        <w:t>Data is kept by the competent services for 10 years after the secondment (2 years for not selected or not seconded experts).</w:t>
      </w:r>
    </w:p>
    <w:p>
      <w:pPr>
        <w:pStyle w:val="BodyText"/>
        <w:ind w:left="796" w:right="283"/>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 of your personal data. Where applicable, you also have the right to object to the processing or the right to data portability.</w:t>
      </w:r>
    </w:p>
    <w:p>
      <w:pPr>
        <w:pStyle w:val="BodyText"/>
        <w:ind w:left="796" w:right="282"/>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11"/>
        <w:rPr>
          <w:sz w:val="21"/>
        </w:rPr>
      </w:pPr>
    </w:p>
    <w:p>
      <w:pPr>
        <w:pStyle w:val="Heading1"/>
        <w:ind w:left="796" w:firstLine="0"/>
      </w:pPr>
      <w:r>
        <w:rPr>
          <w:u w:val="single"/>
        </w:rPr>
        <w:t>Contact</w:t>
      </w:r>
      <w:r>
        <w:rPr>
          <w:spacing w:val="-10"/>
          <w:u w:val="single"/>
        </w:rPr>
        <w:t> </w:t>
      </w:r>
      <w:r>
        <w:rPr>
          <w:spacing w:val="-2"/>
          <w:u w:val="single"/>
        </w:rPr>
        <w:t>information</w:t>
      </w:r>
    </w:p>
    <w:p>
      <w:pPr>
        <w:pStyle w:val="BodyText"/>
        <w:rPr>
          <w:b/>
        </w:rPr>
      </w:pPr>
    </w:p>
    <w:p>
      <w:pPr>
        <w:pStyle w:val="ListParagraph"/>
        <w:numPr>
          <w:ilvl w:val="0"/>
          <w:numId w:val="4"/>
        </w:numPr>
        <w:tabs>
          <w:tab w:pos="1079" w:val="left" w:leader="none"/>
        </w:tabs>
        <w:spacing w:line="240" w:lineRule="auto" w:before="0" w:after="0"/>
        <w:ind w:left="1078" w:right="0" w:hanging="283"/>
        <w:jc w:val="both"/>
        <w:rPr>
          <w:b/>
          <w:sz w:val="22"/>
        </w:rPr>
      </w:pPr>
      <w:r>
        <w:rPr>
          <w:b/>
          <w:sz w:val="22"/>
        </w:rPr>
        <w:t>The</w:t>
      </w:r>
      <w:r>
        <w:rPr>
          <w:b/>
          <w:spacing w:val="-7"/>
          <w:sz w:val="22"/>
        </w:rPr>
        <w:t> </w:t>
      </w:r>
      <w:r>
        <w:rPr>
          <w:b/>
          <w:sz w:val="22"/>
        </w:rPr>
        <w:t>Data</w:t>
      </w:r>
      <w:r>
        <w:rPr>
          <w:b/>
          <w:spacing w:val="-5"/>
          <w:sz w:val="22"/>
        </w:rPr>
        <w:t> </w:t>
      </w:r>
      <w:r>
        <w:rPr>
          <w:b/>
          <w:spacing w:val="-2"/>
          <w:sz w:val="22"/>
        </w:rPr>
        <w:t>Controller</w:t>
      </w:r>
    </w:p>
    <w:p>
      <w:pPr>
        <w:pStyle w:val="BodyText"/>
        <w:ind w:left="1080" w:right="280"/>
        <w:jc w:val="both"/>
      </w:pPr>
      <w:r>
        <w:rPr/>
        <w:t>If you would like to exercise your rights under Regulation (EU) 2018/1725, or if you have comments, questions</w:t>
      </w:r>
      <w:r>
        <w:rPr>
          <w:spacing w:val="-1"/>
        </w:rPr>
        <w:t> </w:t>
      </w:r>
      <w:r>
        <w:rPr/>
        <w:t>or</w:t>
      </w:r>
      <w:r>
        <w:rPr>
          <w:spacing w:val="-1"/>
        </w:rPr>
        <w:t> </w:t>
      </w:r>
      <w:r>
        <w:rPr/>
        <w:t>concerns,</w:t>
      </w:r>
      <w:r>
        <w:rPr>
          <w:spacing w:val="-1"/>
        </w:rPr>
        <w:t> </w:t>
      </w:r>
      <w:r>
        <w:rPr/>
        <w:t>or</w:t>
      </w:r>
      <w:r>
        <w:rPr>
          <w:spacing w:val="-1"/>
        </w:rPr>
        <w:t> </w:t>
      </w:r>
      <w:r>
        <w:rPr/>
        <w:t>if</w:t>
      </w:r>
      <w:r>
        <w:rPr>
          <w:spacing w:val="-1"/>
        </w:rPr>
        <w:t> </w:t>
      </w:r>
      <w:r>
        <w:rPr/>
        <w:t>you would like</w:t>
      </w:r>
      <w:r>
        <w:rPr>
          <w:spacing w:val="-1"/>
        </w:rPr>
        <w:t> </w:t>
      </w:r>
      <w:r>
        <w:rPr/>
        <w:t>to submit</w:t>
      </w:r>
      <w:r>
        <w:rPr>
          <w:spacing w:val="-1"/>
        </w:rPr>
        <w:t> </w:t>
      </w:r>
      <w:r>
        <w:rPr/>
        <w:t>a complaint</w:t>
      </w:r>
      <w:r>
        <w:rPr>
          <w:spacing w:val="-1"/>
        </w:rPr>
        <w:t> </w:t>
      </w:r>
      <w:r>
        <w:rPr/>
        <w:t>regarding 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9">
        <w:r>
          <w:rPr>
            <w:color w:val="0000FF"/>
            <w:u w:val="single" w:color="0000FF"/>
          </w:rPr>
          <w:t>HR-MAIL-</w:t>
        </w:r>
      </w:hyperlink>
      <w:r>
        <w:rPr>
          <w:color w:val="0000FF"/>
          <w:spacing w:val="40"/>
        </w:rPr>
        <w:t> </w:t>
      </w:r>
      <w:hyperlink r:id="rId9">
        <w:r>
          <w:rPr>
            <w:color w:val="0000FF"/>
            <w:spacing w:val="-2"/>
            <w:u w:val="single" w:color="0000FF"/>
          </w:rPr>
          <w:t>B4@ec.europa.eu</w:t>
        </w:r>
        <w:r>
          <w:rPr>
            <w:spacing w:val="-2"/>
          </w:rPr>
          <w:t>.</w:t>
        </w:r>
      </w:hyperlink>
    </w:p>
    <w:p>
      <w:pPr>
        <w:pStyle w:val="BodyText"/>
      </w:pPr>
    </w:p>
    <w:p>
      <w:pPr>
        <w:pStyle w:val="Heading1"/>
        <w:numPr>
          <w:ilvl w:val="0"/>
          <w:numId w:val="4"/>
        </w:numPr>
        <w:tabs>
          <w:tab w:pos="1079" w:val="left" w:leader="none"/>
        </w:tabs>
        <w:spacing w:line="240" w:lineRule="auto" w:before="0" w:after="0"/>
        <w:ind w:left="1078" w:right="0" w:hanging="283"/>
        <w:jc w:val="both"/>
      </w:pPr>
      <w:r>
        <w:rPr/>
        <w:t>The</w:t>
      </w:r>
      <w:r>
        <w:rPr>
          <w:spacing w:val="-8"/>
        </w:rPr>
        <w:t> </w:t>
      </w:r>
      <w:r>
        <w:rPr/>
        <w:t>Data</w:t>
      </w:r>
      <w:r>
        <w:rPr>
          <w:spacing w:val="-6"/>
        </w:rPr>
        <w:t> </w:t>
      </w:r>
      <w:r>
        <w:rPr/>
        <w:t>Protection</w:t>
      </w:r>
      <w:r>
        <w:rPr>
          <w:spacing w:val="-6"/>
        </w:rPr>
        <w:t> </w:t>
      </w:r>
      <w:r>
        <w:rPr/>
        <w:t>Officer</w:t>
      </w:r>
      <w:r>
        <w:rPr>
          <w:spacing w:val="-7"/>
        </w:rPr>
        <w:t> </w:t>
      </w:r>
      <w:r>
        <w:rPr/>
        <w:t>(DPO)</w:t>
      </w:r>
      <w:r>
        <w:rPr>
          <w:spacing w:val="-7"/>
        </w:rPr>
        <w:t> </w:t>
      </w:r>
      <w:r>
        <w:rPr/>
        <w:t>of</w:t>
      </w:r>
      <w:r>
        <w:rPr>
          <w:spacing w:val="-5"/>
        </w:rPr>
        <w:t> </w:t>
      </w:r>
      <w:r>
        <w:rPr/>
        <w:t>the</w:t>
      </w:r>
      <w:r>
        <w:rPr>
          <w:spacing w:val="-7"/>
        </w:rPr>
        <w:t> </w:t>
      </w:r>
      <w:r>
        <w:rPr>
          <w:spacing w:val="-2"/>
        </w:rPr>
        <w:t>Commission</w:t>
      </w:r>
    </w:p>
    <w:p>
      <w:pPr>
        <w:pStyle w:val="BodyText"/>
        <w:ind w:left="1080" w:right="286"/>
        <w:jc w:val="both"/>
      </w:pPr>
      <w:r>
        <w:rPr/>
        <w:t>You may contact the Data Protection Officer (</w:t>
      </w:r>
      <w:hyperlink r:id="rId10">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11"/>
        <w:rPr>
          <w:sz w:val="21"/>
        </w:rPr>
      </w:pPr>
    </w:p>
    <w:p>
      <w:pPr>
        <w:pStyle w:val="Heading1"/>
        <w:numPr>
          <w:ilvl w:val="0"/>
          <w:numId w:val="4"/>
        </w:numPr>
        <w:tabs>
          <w:tab w:pos="1079" w:val="left" w:leader="none"/>
        </w:tabs>
        <w:spacing w:line="240" w:lineRule="auto" w:before="0" w:after="0"/>
        <w:ind w:left="1078" w:right="0" w:hanging="283"/>
        <w:jc w:val="both"/>
      </w:pPr>
      <w:r>
        <w:rPr/>
        <w:t>The</w:t>
      </w:r>
      <w:r>
        <w:rPr>
          <w:spacing w:val="-11"/>
        </w:rPr>
        <w:t> </w:t>
      </w:r>
      <w:r>
        <w:rPr/>
        <w:t>European</w:t>
      </w:r>
      <w:r>
        <w:rPr>
          <w:spacing w:val="-10"/>
        </w:rPr>
        <w:t> </w:t>
      </w:r>
      <w:r>
        <w:rPr/>
        <w:t>Data</w:t>
      </w:r>
      <w:r>
        <w:rPr>
          <w:spacing w:val="-10"/>
        </w:rPr>
        <w:t> </w:t>
      </w:r>
      <w:r>
        <w:rPr/>
        <w:t>Protection</w:t>
      </w:r>
      <w:r>
        <w:rPr>
          <w:spacing w:val="-9"/>
        </w:rPr>
        <w:t> </w:t>
      </w:r>
      <w:r>
        <w:rPr/>
        <w:t>Supervisor</w:t>
      </w:r>
      <w:r>
        <w:rPr>
          <w:spacing w:val="-11"/>
        </w:rPr>
        <w:t> </w:t>
      </w:r>
      <w:r>
        <w:rPr>
          <w:spacing w:val="-2"/>
        </w:rPr>
        <w:t>(EDPS)</w:t>
      </w:r>
    </w:p>
    <w:p>
      <w:pPr>
        <w:pStyle w:val="BodyText"/>
        <w:ind w:left="1080" w:right="281"/>
        <w:jc w:val="both"/>
      </w:pPr>
      <w:r>
        <w:rPr/>
        <w:pict>
          <v:rect style="position:absolute;margin-left:230.160004pt;margin-top:24.130074pt;width:3.66pt;height:.54pt;mso-position-horizontal-relative:page;mso-position-vertical-relative:paragraph;z-index:15729152" id="docshape3"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7"/>
        </w:rPr>
        <w:t> </w:t>
      </w:r>
      <w:r>
        <w:rPr/>
        <w:t>the</w:t>
      </w:r>
      <w:r>
        <w:rPr>
          <w:spacing w:val="-7"/>
        </w:rPr>
        <w:t> </w:t>
      </w:r>
      <w:r>
        <w:rPr/>
        <w:t>attention</w:t>
      </w:r>
      <w:r>
        <w:rPr>
          <w:spacing w:val="-7"/>
        </w:rPr>
        <w:t> </w:t>
      </w:r>
      <w:r>
        <w:rPr/>
        <w:t>of</w:t>
      </w:r>
      <w:r>
        <w:rPr>
          <w:spacing w:val="-6"/>
        </w:rPr>
        <w:t> </w:t>
      </w:r>
      <w:r>
        <w:rPr/>
        <w:t>candidates</w:t>
      </w:r>
      <w:r>
        <w:rPr>
          <w:spacing w:val="-7"/>
        </w:rPr>
        <w:t> </w:t>
      </w:r>
      <w:r>
        <w:rPr/>
        <w:t>from</w:t>
      </w:r>
      <w:r>
        <w:rPr>
          <w:spacing w:val="-8"/>
        </w:rPr>
        <w:t> </w:t>
      </w:r>
      <w:r>
        <w:rPr/>
        <w:t>third</w:t>
      </w:r>
      <w:r>
        <w:rPr>
          <w:spacing w:val="-6"/>
        </w:rPr>
        <w:t> </w:t>
      </w:r>
      <w:r>
        <w:rPr/>
        <w:t>countries:</w:t>
      </w:r>
      <w:r>
        <w:rPr>
          <w:spacing w:val="-7"/>
        </w:rPr>
        <w:t> </w:t>
      </w:r>
      <w:r>
        <w:rPr/>
        <w:t>your</w:t>
      </w:r>
      <w:r>
        <w:rPr>
          <w:spacing w:val="-6"/>
        </w:rPr>
        <w:t> </w:t>
      </w:r>
      <w:r>
        <w:rPr/>
        <w:t>personal</w:t>
      </w:r>
      <w:r>
        <w:rPr>
          <w:spacing w:val="-7"/>
        </w:rPr>
        <w:t> </w:t>
      </w:r>
      <w:r>
        <w:rPr/>
        <w:t>data</w:t>
      </w:r>
      <w:r>
        <w:rPr>
          <w:spacing w:val="-7"/>
        </w:rPr>
        <w:t> </w:t>
      </w:r>
      <w:r>
        <w:rPr/>
        <w:t>can</w:t>
      </w:r>
      <w:r>
        <w:rPr>
          <w:spacing w:val="-6"/>
        </w:rPr>
        <w:t> </w:t>
      </w:r>
      <w:r>
        <w:rPr/>
        <w:t>be</w:t>
      </w:r>
      <w:r>
        <w:rPr>
          <w:spacing w:val="-8"/>
        </w:rPr>
        <w:t> </w:t>
      </w:r>
      <w:r>
        <w:rPr/>
        <w:t>used</w:t>
      </w:r>
      <w:r>
        <w:rPr>
          <w:spacing w:val="-6"/>
        </w:rPr>
        <w:t> </w:t>
      </w:r>
      <w:r>
        <w:rPr/>
        <w:t>for</w:t>
      </w:r>
      <w:r>
        <w:rPr>
          <w:spacing w:val="-7"/>
        </w:rPr>
        <w:t> </w:t>
      </w:r>
      <w:r>
        <w:rPr/>
        <w:t>necessary</w:t>
      </w:r>
      <w:r>
        <w:rPr>
          <w:spacing w:val="-6"/>
        </w:rPr>
        <w:t> </w:t>
      </w:r>
      <w:r>
        <w:rPr>
          <w:spacing w:val="-2"/>
        </w:rPr>
        <w:t>checks.</w:t>
      </w:r>
    </w:p>
    <w:sectPr>
      <w:pgSz w:w="11910" w:h="16840"/>
      <w:pgMar w:header="0" w:footer="686"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Verdana">
    <w:altName w:val="Verdana"/>
    <w:charset w:val="0"/>
    <w:family w:val="swiss"/>
    <w:pitch w:val="variable"/>
  </w:font>
  <w:font w:name="Wingdings 2">
    <w:altName w:val="Wingdings 2"/>
    <w:charset w:val="2"/>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608887pt;width:56.1pt;height:10.85pt;mso-position-horizontal-relative:page;mso-position-vertical-relative:page;z-index:-15814656"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078" w:hanging="283"/>
      </w:pPr>
      <w:rPr>
        <w:rFonts w:hint="default" w:ascii="Verdana" w:hAnsi="Verdana" w:eastAsia="Verdana" w:cs="Verdana"/>
        <w:b w:val="0"/>
        <w:bCs w:val="0"/>
        <w:i w:val="0"/>
        <w:iCs w:val="0"/>
        <w:w w:val="99"/>
        <w:sz w:val="22"/>
        <w:szCs w:val="22"/>
        <w:lang w:val="en-US" w:eastAsia="en-US" w:bidi="ar-SA"/>
      </w:rPr>
    </w:lvl>
    <w:lvl w:ilvl="1">
      <w:start w:val="0"/>
      <w:numFmt w:val="bullet"/>
      <w:lvlText w:val="•"/>
      <w:lvlJc w:val="left"/>
      <w:pPr>
        <w:ind w:left="2040" w:hanging="283"/>
      </w:pPr>
      <w:rPr>
        <w:rFonts w:hint="default"/>
        <w:lang w:val="en-US" w:eastAsia="en-US" w:bidi="ar-SA"/>
      </w:rPr>
    </w:lvl>
    <w:lvl w:ilvl="2">
      <w:start w:val="0"/>
      <w:numFmt w:val="bullet"/>
      <w:lvlText w:val="•"/>
      <w:lvlJc w:val="left"/>
      <w:pPr>
        <w:ind w:left="3001" w:hanging="283"/>
      </w:pPr>
      <w:rPr>
        <w:rFonts w:hint="default"/>
        <w:lang w:val="en-US" w:eastAsia="en-US" w:bidi="ar-SA"/>
      </w:rPr>
    </w:lvl>
    <w:lvl w:ilvl="3">
      <w:start w:val="0"/>
      <w:numFmt w:val="bullet"/>
      <w:lvlText w:val="•"/>
      <w:lvlJc w:val="left"/>
      <w:pPr>
        <w:ind w:left="3961" w:hanging="283"/>
      </w:pPr>
      <w:rPr>
        <w:rFonts w:hint="default"/>
        <w:lang w:val="en-US" w:eastAsia="en-US" w:bidi="ar-SA"/>
      </w:rPr>
    </w:lvl>
    <w:lvl w:ilvl="4">
      <w:start w:val="0"/>
      <w:numFmt w:val="bullet"/>
      <w:lvlText w:val="•"/>
      <w:lvlJc w:val="left"/>
      <w:pPr>
        <w:ind w:left="4922" w:hanging="283"/>
      </w:pPr>
      <w:rPr>
        <w:rFonts w:hint="default"/>
        <w:lang w:val="en-US" w:eastAsia="en-US" w:bidi="ar-SA"/>
      </w:rPr>
    </w:lvl>
    <w:lvl w:ilvl="5">
      <w:start w:val="0"/>
      <w:numFmt w:val="bullet"/>
      <w:lvlText w:val="•"/>
      <w:lvlJc w:val="left"/>
      <w:pPr>
        <w:ind w:left="5883" w:hanging="283"/>
      </w:pPr>
      <w:rPr>
        <w:rFonts w:hint="default"/>
        <w:lang w:val="en-US" w:eastAsia="en-US" w:bidi="ar-SA"/>
      </w:rPr>
    </w:lvl>
    <w:lvl w:ilvl="6">
      <w:start w:val="0"/>
      <w:numFmt w:val="bullet"/>
      <w:lvlText w:val="•"/>
      <w:lvlJc w:val="left"/>
      <w:pPr>
        <w:ind w:left="6843" w:hanging="283"/>
      </w:pPr>
      <w:rPr>
        <w:rFonts w:hint="default"/>
        <w:lang w:val="en-US" w:eastAsia="en-US" w:bidi="ar-SA"/>
      </w:rPr>
    </w:lvl>
    <w:lvl w:ilvl="7">
      <w:start w:val="0"/>
      <w:numFmt w:val="bullet"/>
      <w:lvlText w:val="•"/>
      <w:lvlJc w:val="left"/>
      <w:pPr>
        <w:ind w:left="7804" w:hanging="283"/>
      </w:pPr>
      <w:rPr>
        <w:rFonts w:hint="default"/>
        <w:lang w:val="en-US" w:eastAsia="en-US" w:bidi="ar-SA"/>
      </w:rPr>
    </w:lvl>
    <w:lvl w:ilvl="8">
      <w:start w:val="0"/>
      <w:numFmt w:val="bullet"/>
      <w:lvlText w:val="•"/>
      <w:lvlJc w:val="left"/>
      <w:pPr>
        <w:ind w:left="8765" w:hanging="283"/>
      </w:pPr>
      <w:rPr>
        <w:rFonts w:hint="default"/>
        <w:lang w:val="en-US" w:eastAsia="en-US" w:bidi="ar-SA"/>
      </w:rPr>
    </w:lvl>
  </w:abstractNum>
  <w:abstractNum w:abstractNumId="2">
    <w:multiLevelType w:val="hybridMultilevel"/>
    <w:lvl w:ilvl="0">
      <w:start w:val="0"/>
      <w:numFmt w:val="bullet"/>
      <w:lvlText w:val="-"/>
      <w:lvlJc w:val="left"/>
      <w:pPr>
        <w:ind w:left="1190" w:hanging="129"/>
      </w:pPr>
      <w:rPr>
        <w:rFonts w:hint="default" w:ascii="Times New Roman" w:hAnsi="Times New Roman" w:eastAsia="Times New Roman" w:cs="Times New Roman"/>
        <w:b w:val="0"/>
        <w:bCs w:val="0"/>
        <w:i w:val="0"/>
        <w:iCs w:val="0"/>
        <w:w w:val="99"/>
        <w:sz w:val="22"/>
        <w:szCs w:val="22"/>
        <w:lang w:val="en-US" w:eastAsia="en-US" w:bidi="ar-SA"/>
      </w:rPr>
    </w:lvl>
    <w:lvl w:ilvl="1">
      <w:start w:val="0"/>
      <w:numFmt w:val="bullet"/>
      <w:lvlText w:val="•"/>
      <w:lvlJc w:val="left"/>
      <w:pPr>
        <w:ind w:left="2148" w:hanging="129"/>
      </w:pPr>
      <w:rPr>
        <w:rFonts w:hint="default"/>
        <w:lang w:val="en-US" w:eastAsia="en-US" w:bidi="ar-SA"/>
      </w:rPr>
    </w:lvl>
    <w:lvl w:ilvl="2">
      <w:start w:val="0"/>
      <w:numFmt w:val="bullet"/>
      <w:lvlText w:val="•"/>
      <w:lvlJc w:val="left"/>
      <w:pPr>
        <w:ind w:left="3097" w:hanging="129"/>
      </w:pPr>
      <w:rPr>
        <w:rFonts w:hint="default"/>
        <w:lang w:val="en-US" w:eastAsia="en-US" w:bidi="ar-SA"/>
      </w:rPr>
    </w:lvl>
    <w:lvl w:ilvl="3">
      <w:start w:val="0"/>
      <w:numFmt w:val="bullet"/>
      <w:lvlText w:val="•"/>
      <w:lvlJc w:val="left"/>
      <w:pPr>
        <w:ind w:left="4045" w:hanging="129"/>
      </w:pPr>
      <w:rPr>
        <w:rFonts w:hint="default"/>
        <w:lang w:val="en-US" w:eastAsia="en-US" w:bidi="ar-SA"/>
      </w:rPr>
    </w:lvl>
    <w:lvl w:ilvl="4">
      <w:start w:val="0"/>
      <w:numFmt w:val="bullet"/>
      <w:lvlText w:val="•"/>
      <w:lvlJc w:val="left"/>
      <w:pPr>
        <w:ind w:left="4994" w:hanging="129"/>
      </w:pPr>
      <w:rPr>
        <w:rFonts w:hint="default"/>
        <w:lang w:val="en-US" w:eastAsia="en-US" w:bidi="ar-SA"/>
      </w:rPr>
    </w:lvl>
    <w:lvl w:ilvl="5">
      <w:start w:val="0"/>
      <w:numFmt w:val="bullet"/>
      <w:lvlText w:val="•"/>
      <w:lvlJc w:val="left"/>
      <w:pPr>
        <w:ind w:left="5943" w:hanging="129"/>
      </w:pPr>
      <w:rPr>
        <w:rFonts w:hint="default"/>
        <w:lang w:val="en-US" w:eastAsia="en-US" w:bidi="ar-SA"/>
      </w:rPr>
    </w:lvl>
    <w:lvl w:ilvl="6">
      <w:start w:val="0"/>
      <w:numFmt w:val="bullet"/>
      <w:lvlText w:val="•"/>
      <w:lvlJc w:val="left"/>
      <w:pPr>
        <w:ind w:left="6891" w:hanging="129"/>
      </w:pPr>
      <w:rPr>
        <w:rFonts w:hint="default"/>
        <w:lang w:val="en-US" w:eastAsia="en-US" w:bidi="ar-SA"/>
      </w:rPr>
    </w:lvl>
    <w:lvl w:ilvl="7">
      <w:start w:val="0"/>
      <w:numFmt w:val="bullet"/>
      <w:lvlText w:val="•"/>
      <w:lvlJc w:val="left"/>
      <w:pPr>
        <w:ind w:left="7840" w:hanging="129"/>
      </w:pPr>
      <w:rPr>
        <w:rFonts w:hint="default"/>
        <w:lang w:val="en-US" w:eastAsia="en-US" w:bidi="ar-SA"/>
      </w:rPr>
    </w:lvl>
    <w:lvl w:ilvl="8">
      <w:start w:val="0"/>
      <w:numFmt w:val="bullet"/>
      <w:lvlText w:val="•"/>
      <w:lvlJc w:val="left"/>
      <w:pPr>
        <w:ind w:left="8789" w:hanging="129"/>
      </w:pPr>
      <w:rPr>
        <w:rFonts w:hint="default"/>
        <w:lang w:val="en-US" w:eastAsia="en-US" w:bidi="ar-SA"/>
      </w:rPr>
    </w:lvl>
  </w:abstractNum>
  <w:abstractNum w:abstractNumId="0">
    <w:multiLevelType w:val="hybridMultilevel"/>
    <w:lvl w:ilvl="0">
      <w:start w:val="0"/>
      <w:numFmt w:val="bullet"/>
      <w:lvlText w:val=""/>
      <w:lvlJc w:val="left"/>
      <w:pPr>
        <w:ind w:left="562" w:hanging="455"/>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90" w:hanging="275"/>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83" w:hanging="275"/>
      </w:pPr>
      <w:rPr>
        <w:rFonts w:hint="default"/>
        <w:lang w:val="en-US" w:eastAsia="en-US" w:bidi="ar-SA"/>
      </w:rPr>
    </w:lvl>
    <w:lvl w:ilvl="3">
      <w:start w:val="0"/>
      <w:numFmt w:val="bullet"/>
      <w:lvlText w:val="•"/>
      <w:lvlJc w:val="left"/>
      <w:pPr>
        <w:ind w:left="3066" w:hanging="275"/>
      </w:pPr>
      <w:rPr>
        <w:rFonts w:hint="default"/>
        <w:lang w:val="en-US" w:eastAsia="en-US" w:bidi="ar-SA"/>
      </w:rPr>
    </w:lvl>
    <w:lvl w:ilvl="4">
      <w:start w:val="0"/>
      <w:numFmt w:val="bullet"/>
      <w:lvlText w:val="•"/>
      <w:lvlJc w:val="left"/>
      <w:pPr>
        <w:ind w:left="4049" w:hanging="275"/>
      </w:pPr>
      <w:rPr>
        <w:rFonts w:hint="default"/>
        <w:lang w:val="en-US" w:eastAsia="en-US" w:bidi="ar-SA"/>
      </w:rPr>
    </w:lvl>
    <w:lvl w:ilvl="5">
      <w:start w:val="0"/>
      <w:numFmt w:val="bullet"/>
      <w:lvlText w:val="•"/>
      <w:lvlJc w:val="left"/>
      <w:pPr>
        <w:ind w:left="5032" w:hanging="275"/>
      </w:pPr>
      <w:rPr>
        <w:rFonts w:hint="default"/>
        <w:lang w:val="en-US" w:eastAsia="en-US" w:bidi="ar-SA"/>
      </w:rPr>
    </w:lvl>
    <w:lvl w:ilvl="6">
      <w:start w:val="0"/>
      <w:numFmt w:val="bullet"/>
      <w:lvlText w:val="•"/>
      <w:lvlJc w:val="left"/>
      <w:pPr>
        <w:ind w:left="6015" w:hanging="275"/>
      </w:pPr>
      <w:rPr>
        <w:rFonts w:hint="default"/>
        <w:lang w:val="en-US" w:eastAsia="en-US" w:bidi="ar-SA"/>
      </w:rPr>
    </w:lvl>
    <w:lvl w:ilvl="7">
      <w:start w:val="0"/>
      <w:numFmt w:val="bullet"/>
      <w:lvlText w:val="•"/>
      <w:lvlJc w:val="left"/>
      <w:pPr>
        <w:ind w:left="6998" w:hanging="275"/>
      </w:pPr>
      <w:rPr>
        <w:rFonts w:hint="default"/>
        <w:lang w:val="en-US" w:eastAsia="en-US" w:bidi="ar-SA"/>
      </w:rPr>
    </w:lvl>
    <w:lvl w:ilvl="8">
      <w:start w:val="0"/>
      <w:numFmt w:val="bullet"/>
      <w:lvlText w:val="•"/>
      <w:lvlJc w:val="left"/>
      <w:pPr>
        <w:ind w:left="7981" w:hanging="275"/>
      </w:pPr>
      <w:rPr>
        <w:rFonts w:hint="default"/>
        <w:lang w:val="en-US"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Letter"/>
      <w:lvlText w:val="%2)"/>
      <w:lvlJc w:val="left"/>
      <w:pPr>
        <w:ind w:left="1035" w:hanging="239"/>
        <w:jc w:val="left"/>
      </w:pPr>
      <w:rPr>
        <w:rFonts w:hint="default" w:ascii="Times New Roman" w:hAnsi="Times New Roman" w:eastAsia="Times New Roman" w:cs="Times New Roman"/>
        <w:b/>
        <w:bCs/>
        <w:i w:val="0"/>
        <w:iCs w:val="0"/>
        <w:w w:val="99"/>
        <w:sz w:val="22"/>
        <w:szCs w:val="22"/>
        <w:lang w:val="en-US" w:eastAsia="en-US" w:bidi="ar-SA"/>
      </w:rPr>
    </w:lvl>
    <w:lvl w:ilvl="2">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en-US" w:eastAsia="en-US" w:bidi="ar-SA"/>
      </w:rPr>
    </w:lvl>
    <w:lvl w:ilvl="3">
      <w:start w:val="0"/>
      <w:numFmt w:val="bullet"/>
      <w:lvlText w:val="•"/>
      <w:lvlJc w:val="left"/>
      <w:pPr>
        <w:ind w:left="2280" w:hanging="284"/>
      </w:pPr>
      <w:rPr>
        <w:rFonts w:hint="default"/>
        <w:lang w:val="en-US" w:eastAsia="en-US" w:bidi="ar-SA"/>
      </w:rPr>
    </w:lvl>
    <w:lvl w:ilvl="4">
      <w:start w:val="0"/>
      <w:numFmt w:val="bullet"/>
      <w:lvlText w:val="•"/>
      <w:lvlJc w:val="left"/>
      <w:pPr>
        <w:ind w:left="3481" w:hanging="284"/>
      </w:pPr>
      <w:rPr>
        <w:rFonts w:hint="default"/>
        <w:lang w:val="en-US" w:eastAsia="en-US" w:bidi="ar-SA"/>
      </w:rPr>
    </w:lvl>
    <w:lvl w:ilvl="5">
      <w:start w:val="0"/>
      <w:numFmt w:val="bullet"/>
      <w:lvlText w:val="•"/>
      <w:lvlJc w:val="left"/>
      <w:pPr>
        <w:ind w:left="4682" w:hanging="284"/>
      </w:pPr>
      <w:rPr>
        <w:rFonts w:hint="default"/>
        <w:lang w:val="en-US" w:eastAsia="en-US" w:bidi="ar-SA"/>
      </w:rPr>
    </w:lvl>
    <w:lvl w:ilvl="6">
      <w:start w:val="0"/>
      <w:numFmt w:val="bullet"/>
      <w:lvlText w:val="•"/>
      <w:lvlJc w:val="left"/>
      <w:pPr>
        <w:ind w:left="5883" w:hanging="284"/>
      </w:pPr>
      <w:rPr>
        <w:rFonts w:hint="default"/>
        <w:lang w:val="en-US" w:eastAsia="en-US" w:bidi="ar-SA"/>
      </w:rPr>
    </w:lvl>
    <w:lvl w:ilvl="7">
      <w:start w:val="0"/>
      <w:numFmt w:val="bullet"/>
      <w:lvlText w:val="•"/>
      <w:lvlJc w:val="left"/>
      <w:pPr>
        <w:ind w:left="7084" w:hanging="284"/>
      </w:pPr>
      <w:rPr>
        <w:rFonts w:hint="default"/>
        <w:lang w:val="en-US" w:eastAsia="en-US" w:bidi="ar-SA"/>
      </w:rPr>
    </w:lvl>
    <w:lvl w:ilvl="8">
      <w:start w:val="0"/>
      <w:numFmt w:val="bullet"/>
      <w:lvlText w:val="•"/>
      <w:lvlJc w:val="left"/>
      <w:pPr>
        <w:ind w:left="8284" w:hanging="284"/>
      </w:pPr>
      <w:rPr>
        <w:rFonts w:hint="default"/>
        <w:lang w:val="en-US"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78" w:hanging="283"/>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henning.ehrenstein@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description/>
  <dcterms:created xsi:type="dcterms:W3CDTF">2023-05-11T11:00:12Z</dcterms:created>
  <dcterms:modified xsi:type="dcterms:W3CDTF">2023-05-11T11:00:12Z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2023-05-11T00:00:00Z</vt:filetime>
  </property>
  <property fmtid="{D5CDD505-2E9C-101B-9397-08002B2CF9AE}" pid="3" name="Creator">
    <vt:lpwstr>Acrobat PDFMaker 23 for Word</vt:lpwstr>
  </property>
  <property fmtid="{D5CDD505-2E9C-101B-9397-08002B2CF9AE}" pid="4" name="LastSaved">
    <vt:filetime>2023-05-11T00:00:00Z</vt:filetime>
  </property>
  <property fmtid="{D5CDD505-2E9C-101B-9397-08002B2CF9AE}" pid="5" name="MSIP_Label_6bd9ddd1-4d20-43f6-abfa-fc3c07406f94_ActionId">
    <vt:lpwstr>78559ba3-a3a9-4d1e-9483-2d5b107c80e3</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2023-01-05T15:45:30Z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D:20230510124859</vt:lpwstr>
  </property>
</Properties>
</file>