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67"/>
              <w:rPr>
                <w:b/>
                <w:sz w:val="24"/>
              </w:rPr>
            </w:pPr>
            <w:r>
              <w:rPr>
                <w:b/>
                <w:spacing w:val="-2"/>
                <w:sz w:val="24"/>
              </w:rPr>
              <w:t>ENER-A-</w:t>
            </w:r>
            <w:r>
              <w:rPr>
                <w:b/>
                <w:spacing w:val="-10"/>
                <w:sz w:val="24"/>
              </w:rPr>
              <w:t>4</w:t>
            </w:r>
          </w:p>
        </w:tc>
      </w:tr>
      <w:tr>
        <w:trPr>
          <w:trHeight w:val="1977" w:hRule="atLeast"/>
        </w:trPr>
        <w:tc>
          <w:tcPr>
            <w:tcW w:w="4359" w:type="dxa"/>
            <w:vMerge w:val="restart"/>
          </w:tcPr>
          <w:p>
            <w:pPr>
              <w:pStyle w:val="TableParagraph"/>
              <w:spacing w:line="251" w:lineRule="exact"/>
              <w:rPr>
                <w:b/>
                <w:sz w:val="22"/>
              </w:rPr>
            </w:pPr>
            <w:r>
              <w:rPr>
                <w:b/>
                <w:sz w:val="22"/>
              </w:rPr>
              <w:t>Head</w:t>
            </w:r>
            <w:r>
              <w:rPr>
                <w:b/>
                <w:spacing w:val="-3"/>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spacing w:line="270" w:lineRule="exact"/>
              <w:rPr>
                <w:sz w:val="24"/>
              </w:rPr>
            </w:pPr>
            <w:r>
              <w:rPr>
                <w:sz w:val="24"/>
              </w:rPr>
              <w:t>Miguel</w:t>
            </w:r>
            <w:r>
              <w:rPr>
                <w:spacing w:val="-5"/>
                <w:sz w:val="24"/>
              </w:rPr>
              <w:t> </w:t>
            </w:r>
            <w:r>
              <w:rPr>
                <w:sz w:val="24"/>
              </w:rPr>
              <w:t>GIL</w:t>
            </w:r>
            <w:r>
              <w:rPr>
                <w:spacing w:val="-6"/>
                <w:sz w:val="24"/>
              </w:rPr>
              <w:t> </w:t>
            </w:r>
            <w:r>
              <w:rPr>
                <w:spacing w:val="-2"/>
                <w:sz w:val="24"/>
              </w:rPr>
              <w:t>TERTRE</w:t>
            </w:r>
          </w:p>
          <w:p>
            <w:pPr>
              <w:pStyle w:val="TableParagraph"/>
              <w:rPr>
                <w:sz w:val="24"/>
              </w:rPr>
            </w:pPr>
            <w:hyperlink r:id="rId7">
              <w:r>
                <w:rPr>
                  <w:spacing w:val="-2"/>
                  <w:sz w:val="24"/>
                </w:rPr>
                <w:t>Miguel.GIL-TERTRE@ec.europa.eu</w:t>
              </w:r>
            </w:hyperlink>
          </w:p>
          <w:p>
            <w:pPr>
              <w:pStyle w:val="TableParagraph"/>
              <w:rPr>
                <w:sz w:val="24"/>
              </w:rPr>
            </w:pPr>
            <w:r>
              <w:rPr>
                <w:sz w:val="24"/>
              </w:rPr>
              <w:t>+32</w:t>
            </w:r>
            <w:r>
              <w:rPr>
                <w:spacing w:val="-2"/>
                <w:sz w:val="24"/>
              </w:rPr>
              <w:t> </w:t>
            </w:r>
            <w:r>
              <w:rPr>
                <w:sz w:val="24"/>
              </w:rPr>
              <w:t>229-</w:t>
            </w:r>
            <w:r>
              <w:rPr>
                <w:spacing w:val="-2"/>
                <w:sz w:val="24"/>
              </w:rPr>
              <w:t>56493</w:t>
            </w:r>
          </w:p>
          <w:p>
            <w:pPr>
              <w:pStyle w:val="TableParagraph"/>
              <w:rPr>
                <w:sz w:val="24"/>
              </w:rPr>
            </w:pPr>
            <w:r>
              <w:rPr>
                <w:sz w:val="24"/>
              </w:rPr>
              <w:t>1</w:t>
            </w:r>
          </w:p>
          <w:p>
            <w:pPr>
              <w:pStyle w:val="TableParagraph"/>
              <w:spacing w:before="4"/>
              <w:rPr>
                <w:b/>
                <w:sz w:val="22"/>
              </w:rPr>
            </w:pPr>
            <w:r>
              <w:rPr>
                <w:b/>
                <w:sz w:val="22"/>
              </w:rPr>
              <w:t>2</w:t>
            </w:r>
            <w:r>
              <w:rPr>
                <w:b/>
                <w:sz w:val="22"/>
                <w:vertAlign w:val="superscript"/>
              </w:rPr>
              <w:t>nd</w:t>
            </w:r>
            <w:r>
              <w:rPr>
                <w:b/>
                <w:spacing w:val="-4"/>
                <w:sz w:val="22"/>
                <w:vertAlign w:val="baseline"/>
              </w:rPr>
              <w:t> </w:t>
            </w:r>
            <w:r>
              <w:rPr>
                <w:b/>
                <w:sz w:val="22"/>
                <w:vertAlign w:val="baseline"/>
              </w:rPr>
              <w:t>quarter</w:t>
            </w:r>
            <w:r>
              <w:rPr>
                <w:b/>
                <w:spacing w:val="-2"/>
                <w:sz w:val="22"/>
                <w:vertAlign w:val="baseline"/>
              </w:rPr>
              <w:t> </w:t>
            </w:r>
            <w:r>
              <w:rPr>
                <w:b/>
                <w:sz w:val="22"/>
                <w:vertAlign w:val="baseline"/>
              </w:rPr>
              <w:t>2023</w:t>
            </w:r>
            <w:r>
              <w:rPr>
                <w:b/>
                <w:spacing w:val="-5"/>
                <w:sz w:val="22"/>
                <w:vertAlign w:val="baseline"/>
              </w:rPr>
              <w:t> </w:t>
            </w:r>
            <w:r>
              <w:rPr>
                <w:b/>
                <w:spacing w:val="-10"/>
                <w:sz w:val="22"/>
                <w:vertAlign w:val="superscript"/>
              </w:rPr>
              <w:t>1</w:t>
            </w:r>
          </w:p>
          <w:p>
            <w:pPr>
              <w:pStyle w:val="TableParagraph"/>
              <w:spacing w:line="252" w:lineRule="exact" w:before="1"/>
              <w:rPr>
                <w:b/>
                <w:sz w:val="22"/>
              </w:rPr>
            </w:pPr>
            <w:r>
              <w:rPr>
                <w:b/>
                <w:sz w:val="22"/>
              </w:rPr>
              <w:t>1 </w:t>
            </w:r>
            <w:r>
              <w:rPr>
                <w:b/>
                <w:spacing w:val="-2"/>
                <w:sz w:val="22"/>
              </w:rPr>
              <w:t>year(s)</w:t>
            </w:r>
            <w:r>
              <w:rPr>
                <w:b/>
                <w:spacing w:val="-2"/>
                <w:sz w:val="22"/>
                <w:vertAlign w:val="superscript"/>
              </w:rPr>
              <w:t>1</w:t>
            </w:r>
          </w:p>
          <w:p>
            <w:pPr>
              <w:pStyle w:val="TableParagraph"/>
              <w:spacing w:line="252" w:lineRule="exact"/>
              <w:rPr>
                <w:b/>
                <w:sz w:val="22"/>
              </w:rPr>
            </w:pPr>
            <w:r>
              <w:rPr>
                <w:rFonts w:ascii="Wingdings 2" w:hAnsi="Wingdings 2"/>
                <w:sz w:val="22"/>
              </w:rPr>
              <w:t></w:t>
            </w:r>
            <w:r>
              <w:rPr>
                <w:spacing w:val="-2"/>
                <w:sz w:val="22"/>
              </w:rPr>
              <w:t> </w:t>
            </w:r>
            <w:r>
              <w:rPr>
                <w:b/>
                <w:sz w:val="22"/>
              </w:rPr>
              <w:t>Brussels</w:t>
            </w:r>
            <w:r>
              <w:rPr>
                <w:b/>
                <w:spacing w:val="51"/>
                <w:sz w:val="22"/>
              </w:rPr>
              <w:t> </w:t>
            </w:r>
            <w:r>
              <w:rPr>
                <w:rFonts w:ascii="Wingdings 2" w:hAnsi="Wingdings 2"/>
                <w:sz w:val="22"/>
              </w:rPr>
              <w:t></w:t>
            </w:r>
            <w:r>
              <w:rPr>
                <w:spacing w:val="-2"/>
                <w:sz w:val="22"/>
              </w:rPr>
              <w:t> </w:t>
            </w:r>
            <w:r>
              <w:rPr>
                <w:b/>
                <w:sz w:val="22"/>
              </w:rPr>
              <w:t>Luxemburg</w:t>
            </w:r>
            <w:r>
              <w:rPr>
                <w:b/>
                <w:spacing w:val="52"/>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23" w:val="left" w:leader="none"/>
                <w:tab w:pos="2950" w:val="left" w:leader="none"/>
                <w:tab w:pos="3422" w:val="left" w:leader="none"/>
              </w:tabs>
              <w:spacing w:before="145"/>
              <w:rPr>
                <w:b/>
                <w:sz w:val="22"/>
              </w:rPr>
            </w:pPr>
            <w:r>
              <w:rPr>
                <w:rFonts w:ascii="Wingdings 2" w:hAnsi="Wingdings 2"/>
                <w:spacing w:val="-10"/>
                <w:sz w:val="22"/>
              </w:rPr>
              <w:t></w:t>
            </w:r>
            <w:r>
              <w:rPr>
                <w:sz w:val="22"/>
              </w:rPr>
              <w:tab/>
            </w:r>
            <w:r>
              <w:rPr>
                <w:b/>
                <w:sz w:val="22"/>
              </w:rPr>
              <w:t>With</w:t>
            </w:r>
            <w:r>
              <w:rPr>
                <w:b/>
                <w:spacing w:val="-2"/>
                <w:sz w:val="22"/>
              </w:rPr>
              <w:t> 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3" w:hRule="atLeast"/>
        </w:trPr>
        <w:tc>
          <w:tcPr>
            <w:tcW w:w="9956" w:type="dxa"/>
            <w:gridSpan w:val="2"/>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2"/>
        <w:ind w:left="372" w:right="571"/>
        <w:jc w:val="both"/>
      </w:pPr>
      <w:r>
        <w:rPr/>
        <w:t>Within the Unit dealing with the coordination of the economic and financial aspects of energy policy, provision of economic data, economic modelling as well as financial instruments in the field of energy, the seconded national expert (SNE) will be a policy officer in charge of contributing to the development, management and monitoring of the European Union’s budgetary programs in the context of the European Green Deal and the recovery as far as energy sector financing is concerned. Contribute to shaping the European Commission’s sustainable finance initiative including legislative and non-legislative measures and ensure that those incentivize investments to serve the objectives of the European Green Deal objectives and climate neutrality by 2050.</w:t>
      </w:r>
    </w:p>
    <w:p>
      <w:pPr>
        <w:pStyle w:val="BodyText"/>
        <w:spacing w:before="10"/>
        <w:rPr>
          <w:sz w:val="21"/>
        </w:rPr>
      </w:pPr>
    </w:p>
    <w:p>
      <w:pPr>
        <w:pStyle w:val="BodyText"/>
        <w:ind w:left="372"/>
      </w:pPr>
      <w:r>
        <w:rPr/>
        <w:t>The</w:t>
      </w:r>
      <w:r>
        <w:rPr>
          <w:spacing w:val="-4"/>
        </w:rPr>
        <w:t> </w:t>
      </w:r>
      <w:r>
        <w:rPr/>
        <w:t>SNE's</w:t>
      </w:r>
      <w:r>
        <w:rPr>
          <w:spacing w:val="-2"/>
        </w:rPr>
        <w:t> </w:t>
      </w:r>
      <w:r>
        <w:rPr/>
        <w:t>tasks</w:t>
      </w:r>
      <w:r>
        <w:rPr>
          <w:spacing w:val="-2"/>
        </w:rPr>
        <w:t> </w:t>
      </w:r>
      <w:r>
        <w:rPr/>
        <w:t>will</w:t>
      </w:r>
      <w:r>
        <w:rPr>
          <w:spacing w:val="-4"/>
        </w:rPr>
        <w:t> </w:t>
      </w:r>
      <w:r>
        <w:rPr/>
        <w:t>also</w:t>
      </w:r>
      <w:r>
        <w:rPr>
          <w:spacing w:val="-1"/>
        </w:rPr>
        <w:t> </w:t>
      </w:r>
      <w:r>
        <w:rPr>
          <w:spacing w:val="-2"/>
        </w:rPr>
        <w:t>include:</w:t>
      </w:r>
    </w:p>
    <w:p>
      <w:pPr>
        <w:pStyle w:val="ListParagraph"/>
        <w:numPr>
          <w:ilvl w:val="1"/>
          <w:numId w:val="2"/>
        </w:numPr>
        <w:tabs>
          <w:tab w:pos="1092" w:val="left" w:leader="none"/>
          <w:tab w:pos="1093" w:val="left" w:leader="none"/>
        </w:tabs>
        <w:spacing w:line="269" w:lineRule="exact" w:before="2" w:after="0"/>
        <w:ind w:left="1092" w:right="0" w:hanging="361"/>
        <w:jc w:val="left"/>
        <w:rPr>
          <w:sz w:val="22"/>
        </w:rPr>
      </w:pPr>
      <w:r>
        <w:rPr>
          <w:sz w:val="22"/>
        </w:rPr>
        <w:t>advice</w:t>
      </w:r>
      <w:r>
        <w:rPr>
          <w:spacing w:val="-3"/>
          <w:sz w:val="22"/>
        </w:rPr>
        <w:t> </w:t>
      </w:r>
      <w:r>
        <w:rPr>
          <w:sz w:val="22"/>
        </w:rPr>
        <w:t>or</w:t>
      </w:r>
      <w:r>
        <w:rPr>
          <w:spacing w:val="-3"/>
          <w:sz w:val="22"/>
        </w:rPr>
        <w:t> </w:t>
      </w:r>
      <w:r>
        <w:rPr>
          <w:sz w:val="22"/>
        </w:rPr>
        <w:t>assistance</w:t>
      </w:r>
      <w:r>
        <w:rPr>
          <w:spacing w:val="-3"/>
          <w:sz w:val="22"/>
        </w:rPr>
        <w:t> </w:t>
      </w:r>
      <w:r>
        <w:rPr>
          <w:sz w:val="22"/>
        </w:rPr>
        <w:t>on</w:t>
      </w:r>
      <w:r>
        <w:rPr>
          <w:spacing w:val="-5"/>
          <w:sz w:val="22"/>
        </w:rPr>
        <w:t> </w:t>
      </w:r>
      <w:r>
        <w:rPr>
          <w:sz w:val="22"/>
        </w:rPr>
        <w:t>matters</w:t>
      </w:r>
      <w:r>
        <w:rPr>
          <w:spacing w:val="-3"/>
          <w:sz w:val="22"/>
        </w:rPr>
        <w:t> </w:t>
      </w:r>
      <w:r>
        <w:rPr>
          <w:sz w:val="22"/>
        </w:rPr>
        <w:t>relating</w:t>
      </w:r>
      <w:r>
        <w:rPr>
          <w:spacing w:val="-6"/>
          <w:sz w:val="22"/>
        </w:rPr>
        <w:t> </w:t>
      </w:r>
      <w:r>
        <w:rPr>
          <w:sz w:val="22"/>
        </w:rPr>
        <w:t>to</w:t>
      </w:r>
      <w:r>
        <w:rPr>
          <w:spacing w:val="-2"/>
          <w:sz w:val="22"/>
        </w:rPr>
        <w:t> </w:t>
      </w:r>
      <w:r>
        <w:rPr>
          <w:sz w:val="22"/>
        </w:rPr>
        <w:t>the</w:t>
      </w:r>
      <w:r>
        <w:rPr>
          <w:spacing w:val="-3"/>
          <w:sz w:val="22"/>
        </w:rPr>
        <w:t> </w:t>
      </w:r>
      <w:r>
        <w:rPr>
          <w:sz w:val="22"/>
        </w:rPr>
        <w:t>area</w:t>
      </w:r>
      <w:r>
        <w:rPr>
          <w:spacing w:val="-3"/>
          <w:sz w:val="22"/>
        </w:rPr>
        <w:t> </w:t>
      </w:r>
      <w:r>
        <w:rPr>
          <w:sz w:val="22"/>
        </w:rPr>
        <w:t>of</w:t>
      </w:r>
      <w:r>
        <w:rPr>
          <w:spacing w:val="1"/>
          <w:sz w:val="22"/>
        </w:rPr>
        <w:t> </w:t>
      </w:r>
      <w:r>
        <w:rPr>
          <w:sz w:val="22"/>
        </w:rPr>
        <w:t>the</w:t>
      </w:r>
      <w:r>
        <w:rPr>
          <w:spacing w:val="-2"/>
          <w:sz w:val="22"/>
        </w:rPr>
        <w:t> activity;</w:t>
      </w:r>
    </w:p>
    <w:p>
      <w:pPr>
        <w:pStyle w:val="ListParagraph"/>
        <w:numPr>
          <w:ilvl w:val="1"/>
          <w:numId w:val="2"/>
        </w:numPr>
        <w:tabs>
          <w:tab w:pos="1092" w:val="left" w:leader="none"/>
          <w:tab w:pos="1093" w:val="left" w:leader="none"/>
        </w:tabs>
        <w:spacing w:line="269" w:lineRule="exact" w:before="0" w:after="0"/>
        <w:ind w:left="1092" w:right="0" w:hanging="361"/>
        <w:jc w:val="left"/>
        <w:rPr>
          <w:sz w:val="22"/>
        </w:rPr>
      </w:pPr>
      <w:r>
        <w:rPr>
          <w:sz w:val="22"/>
        </w:rPr>
        <w:t>explanation</w:t>
      </w:r>
      <w:r>
        <w:rPr>
          <w:spacing w:val="-8"/>
          <w:sz w:val="22"/>
        </w:rPr>
        <w:t> </w:t>
      </w:r>
      <w:r>
        <w:rPr>
          <w:sz w:val="22"/>
        </w:rPr>
        <w:t>or</w:t>
      </w:r>
      <w:r>
        <w:rPr>
          <w:spacing w:val="-2"/>
          <w:sz w:val="22"/>
        </w:rPr>
        <w:t> </w:t>
      </w:r>
      <w:r>
        <w:rPr>
          <w:sz w:val="22"/>
        </w:rPr>
        <w:t>elaboration</w:t>
      </w:r>
      <w:r>
        <w:rPr>
          <w:spacing w:val="-5"/>
          <w:sz w:val="22"/>
        </w:rPr>
        <w:t> </w:t>
      </w:r>
      <w:r>
        <w:rPr>
          <w:sz w:val="22"/>
        </w:rPr>
        <w:t>of</w:t>
      </w:r>
      <w:r>
        <w:rPr>
          <w:spacing w:val="-3"/>
          <w:sz w:val="22"/>
        </w:rPr>
        <w:t> </w:t>
      </w:r>
      <w:r>
        <w:rPr>
          <w:sz w:val="22"/>
        </w:rPr>
        <w:t>the</w:t>
      </w:r>
      <w:r>
        <w:rPr>
          <w:spacing w:val="-2"/>
          <w:sz w:val="22"/>
        </w:rPr>
        <w:t> </w:t>
      </w:r>
      <w:r>
        <w:rPr>
          <w:sz w:val="22"/>
        </w:rPr>
        <w:t>analyses</w:t>
      </w:r>
      <w:r>
        <w:rPr>
          <w:spacing w:val="-4"/>
          <w:sz w:val="22"/>
        </w:rPr>
        <w:t> </w:t>
      </w:r>
      <w:r>
        <w:rPr>
          <w:sz w:val="22"/>
        </w:rPr>
        <w:t>/</w:t>
      </w:r>
      <w:r>
        <w:rPr>
          <w:spacing w:val="-2"/>
          <w:sz w:val="22"/>
        </w:rPr>
        <w:t> </w:t>
      </w:r>
      <w:r>
        <w:rPr>
          <w:sz w:val="22"/>
        </w:rPr>
        <w:t>reports</w:t>
      </w:r>
      <w:r>
        <w:rPr>
          <w:spacing w:val="-4"/>
          <w:sz w:val="22"/>
        </w:rPr>
        <w:t> </w:t>
      </w:r>
      <w:r>
        <w:rPr>
          <w:sz w:val="22"/>
        </w:rPr>
        <w:t>to</w:t>
      </w:r>
      <w:r>
        <w:rPr>
          <w:spacing w:val="-5"/>
          <w:sz w:val="22"/>
        </w:rPr>
        <w:t> </w:t>
      </w:r>
      <w:r>
        <w:rPr>
          <w:sz w:val="22"/>
        </w:rPr>
        <w:t>the</w:t>
      </w:r>
      <w:r>
        <w:rPr>
          <w:spacing w:val="-3"/>
          <w:sz w:val="22"/>
        </w:rPr>
        <w:t> </w:t>
      </w:r>
      <w:r>
        <w:rPr>
          <w:sz w:val="22"/>
        </w:rPr>
        <w:t>hierarchy</w:t>
      </w:r>
      <w:r>
        <w:rPr>
          <w:spacing w:val="-4"/>
          <w:sz w:val="22"/>
        </w:rPr>
        <w:t> </w:t>
      </w:r>
      <w:r>
        <w:rPr>
          <w:sz w:val="22"/>
        </w:rPr>
        <w:t>or</w:t>
      </w:r>
      <w:r>
        <w:rPr>
          <w:spacing w:val="-4"/>
          <w:sz w:val="22"/>
        </w:rPr>
        <w:t> </w:t>
      </w:r>
      <w:r>
        <w:rPr>
          <w:spacing w:val="-2"/>
          <w:sz w:val="22"/>
        </w:rPr>
        <w:t>stakeholders;</w:t>
      </w:r>
    </w:p>
    <w:p>
      <w:pPr>
        <w:pStyle w:val="ListParagraph"/>
        <w:numPr>
          <w:ilvl w:val="1"/>
          <w:numId w:val="2"/>
        </w:numPr>
        <w:tabs>
          <w:tab w:pos="1092" w:val="left" w:leader="none"/>
          <w:tab w:pos="1093" w:val="left" w:leader="none"/>
        </w:tabs>
        <w:spacing w:line="269" w:lineRule="exact" w:before="0" w:after="0"/>
        <w:ind w:left="1092" w:right="0" w:hanging="361"/>
        <w:jc w:val="left"/>
        <w:rPr>
          <w:sz w:val="22"/>
        </w:rPr>
      </w:pPr>
      <w:r>
        <w:rPr>
          <w:sz w:val="22"/>
        </w:rPr>
        <w:t>preparation</w:t>
      </w:r>
      <w:r>
        <w:rPr>
          <w:spacing w:val="-6"/>
          <w:sz w:val="22"/>
        </w:rPr>
        <w:t> </w:t>
      </w:r>
      <w:r>
        <w:rPr>
          <w:sz w:val="22"/>
        </w:rPr>
        <w:t>or</w:t>
      </w:r>
      <w:r>
        <w:rPr>
          <w:spacing w:val="-6"/>
          <w:sz w:val="22"/>
        </w:rPr>
        <w:t> </w:t>
      </w:r>
      <w:r>
        <w:rPr>
          <w:sz w:val="22"/>
        </w:rPr>
        <w:t>drafting</w:t>
      </w:r>
      <w:r>
        <w:rPr>
          <w:spacing w:val="-6"/>
          <w:sz w:val="22"/>
        </w:rPr>
        <w:t> </w:t>
      </w:r>
      <w:r>
        <w:rPr>
          <w:sz w:val="22"/>
        </w:rPr>
        <w:t>of</w:t>
      </w:r>
      <w:r>
        <w:rPr>
          <w:spacing w:val="-4"/>
          <w:sz w:val="22"/>
        </w:rPr>
        <w:t> </w:t>
      </w:r>
      <w:r>
        <w:rPr>
          <w:sz w:val="22"/>
        </w:rPr>
        <w:t>briefings,</w:t>
      </w:r>
      <w:r>
        <w:rPr>
          <w:spacing w:val="-3"/>
          <w:sz w:val="22"/>
        </w:rPr>
        <w:t> </w:t>
      </w:r>
      <w:r>
        <w:rPr>
          <w:sz w:val="22"/>
        </w:rPr>
        <w:t>speeches</w:t>
      </w:r>
      <w:r>
        <w:rPr>
          <w:spacing w:val="-6"/>
          <w:sz w:val="22"/>
        </w:rPr>
        <w:t> </w:t>
      </w:r>
      <w:r>
        <w:rPr>
          <w:sz w:val="22"/>
        </w:rPr>
        <w:t>and</w:t>
      </w:r>
      <w:r>
        <w:rPr>
          <w:spacing w:val="-4"/>
          <w:sz w:val="22"/>
        </w:rPr>
        <w:t> </w:t>
      </w:r>
      <w:r>
        <w:rPr>
          <w:sz w:val="22"/>
        </w:rPr>
        <w:t>presentations</w:t>
      </w:r>
      <w:r>
        <w:rPr>
          <w:spacing w:val="-3"/>
          <w:sz w:val="22"/>
        </w:rPr>
        <w:t> </w:t>
      </w:r>
      <w:r>
        <w:rPr>
          <w:sz w:val="22"/>
        </w:rPr>
        <w:t>for</w:t>
      </w:r>
      <w:r>
        <w:rPr>
          <w:spacing w:val="-6"/>
          <w:sz w:val="22"/>
        </w:rPr>
        <w:t> </w:t>
      </w:r>
      <w:r>
        <w:rPr>
          <w:sz w:val="22"/>
        </w:rPr>
        <w:t>the</w:t>
      </w:r>
      <w:r>
        <w:rPr>
          <w:spacing w:val="-3"/>
          <w:sz w:val="22"/>
        </w:rPr>
        <w:t> </w:t>
      </w:r>
      <w:r>
        <w:rPr>
          <w:spacing w:val="-2"/>
          <w:sz w:val="22"/>
        </w:rPr>
        <w:t>hierarchy.</w:t>
      </w:r>
    </w:p>
    <w:p>
      <w:pPr>
        <w:pStyle w:val="BodyText"/>
        <w:rPr>
          <w:sz w:val="26"/>
        </w:rPr>
      </w:pPr>
    </w:p>
    <w:p>
      <w:pPr>
        <w:pStyle w:val="ListParagraph"/>
        <w:numPr>
          <w:ilvl w:val="0"/>
          <w:numId w:val="2"/>
        </w:numPr>
        <w:tabs>
          <w:tab w:pos="799" w:val="left" w:leader="none"/>
          <w:tab w:pos="800" w:val="left" w:leader="none"/>
        </w:tabs>
        <w:spacing w:line="240" w:lineRule="auto" w:before="212" w:after="0"/>
        <w:ind w:left="799" w:right="0" w:hanging="428"/>
        <w:jc w:val="left"/>
        <w:rPr>
          <w:b/>
          <w:sz w:val="24"/>
        </w:rPr>
      </w:pPr>
      <w:r>
        <w:rPr>
          <w:b/>
          <w:sz w:val="24"/>
          <w:u w:val="single"/>
        </w:rPr>
        <w:t>Main</w:t>
      </w:r>
      <w:r>
        <w:rPr>
          <w:b/>
          <w:spacing w:val="-2"/>
          <w:sz w:val="24"/>
          <w:u w:val="single"/>
        </w:rPr>
        <w:t> qualifications</w:t>
      </w:r>
    </w:p>
    <w:p>
      <w:pPr>
        <w:pStyle w:val="BodyText"/>
        <w:spacing w:before="9"/>
        <w:rPr>
          <w:b/>
          <w:sz w:val="15"/>
        </w:rPr>
      </w:pPr>
    </w:p>
    <w:p>
      <w:pPr>
        <w:pStyle w:val="Heading1"/>
        <w:numPr>
          <w:ilvl w:val="0"/>
          <w:numId w:val="3"/>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spacing w:before="1"/>
        <w:ind w:left="799" w:right="114"/>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rPr>
          <w:sz w:val="20"/>
        </w:rPr>
      </w:pPr>
    </w:p>
    <w:p>
      <w:pPr>
        <w:pStyle w:val="BodyText"/>
        <w:rPr>
          <w:sz w:val="27"/>
        </w:rPr>
      </w:pPr>
      <w:r>
        <w:rPr/>
        <w:pict>
          <v:rect style="position:absolute;margin-left:42.599998pt;margin-top:16.733124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372" w:right="506" w:firstLine="0"/>
        <w:jc w:val="left"/>
        <w:rPr>
          <w:sz w:val="20"/>
        </w:rPr>
      </w:pPr>
      <w:r>
        <w:rPr>
          <w:sz w:val="20"/>
        </w:rPr>
        <w:t>Die</w:t>
      </w:r>
      <w:r>
        <w:rPr>
          <w:sz w:val="20"/>
          <w:vertAlign w:val="superscript"/>
        </w:rPr>
        <w:t>1</w:t>
      </w:r>
      <w:r>
        <w:rPr>
          <w:spacing w:val="62"/>
          <w:sz w:val="20"/>
          <w:vertAlign w:val="baseline"/>
        </w:rPr>
        <w:t> </w:t>
      </w:r>
      <w:r>
        <w:rPr>
          <w:sz w:val="20"/>
          <w:vertAlign w:val="baseline"/>
        </w:rPr>
        <w:t>Angaben</w:t>
      </w:r>
      <w:r>
        <w:rPr>
          <w:spacing w:val="40"/>
          <w:sz w:val="20"/>
          <w:vertAlign w:val="baseline"/>
        </w:rPr>
        <w:t> </w:t>
      </w:r>
      <w:r>
        <w:rPr>
          <w:sz w:val="20"/>
          <w:vertAlign w:val="baseline"/>
        </w:rPr>
        <w:t>zum</w:t>
      </w:r>
      <w:r>
        <w:rPr>
          <w:spacing w:val="40"/>
          <w:sz w:val="20"/>
          <w:vertAlign w:val="baseline"/>
        </w:rPr>
        <w:t> </w:t>
      </w:r>
      <w:r>
        <w:rPr>
          <w:sz w:val="20"/>
          <w:vertAlign w:val="baseline"/>
        </w:rPr>
        <w:t>Datum</w:t>
      </w:r>
      <w:r>
        <w:rPr>
          <w:spacing w:val="40"/>
          <w:sz w:val="20"/>
          <w:vertAlign w:val="baseline"/>
        </w:rPr>
        <w:t> </w:t>
      </w:r>
      <w:r>
        <w:rPr>
          <w:sz w:val="20"/>
          <w:vertAlign w:val="baseline"/>
        </w:rPr>
        <w:t>des</w:t>
      </w:r>
      <w:r>
        <w:rPr>
          <w:spacing w:val="59"/>
          <w:sz w:val="20"/>
          <w:vertAlign w:val="baseline"/>
        </w:rPr>
        <w:t> </w:t>
      </w:r>
      <w:r>
        <w:rPr>
          <w:sz w:val="20"/>
          <w:vertAlign w:val="baseline"/>
        </w:rPr>
        <w:t>Dienstantritts</w:t>
      </w:r>
      <w:r>
        <w:rPr>
          <w:spacing w:val="40"/>
          <w:sz w:val="20"/>
          <w:vertAlign w:val="baseline"/>
        </w:rPr>
        <w:t> </w:t>
      </w:r>
      <w:r>
        <w:rPr>
          <w:sz w:val="20"/>
          <w:vertAlign w:val="baseline"/>
        </w:rPr>
        <w:t>und</w:t>
      </w:r>
      <w:r>
        <w:rPr>
          <w:spacing w:val="60"/>
          <w:sz w:val="20"/>
          <w:vertAlign w:val="baseline"/>
        </w:rPr>
        <w:t> </w:t>
      </w:r>
      <w:r>
        <w:rPr>
          <w:sz w:val="20"/>
          <w:vertAlign w:val="baseline"/>
        </w:rPr>
        <w:t>zur</w:t>
      </w:r>
      <w:r>
        <w:rPr>
          <w:spacing w:val="60"/>
          <w:sz w:val="20"/>
          <w:vertAlign w:val="baseline"/>
        </w:rPr>
        <w:t> </w:t>
      </w:r>
      <w:r>
        <w:rPr>
          <w:sz w:val="20"/>
          <w:vertAlign w:val="baseline"/>
        </w:rPr>
        <w:t>Dauer</w:t>
      </w:r>
      <w:r>
        <w:rPr>
          <w:spacing w:val="60"/>
          <w:sz w:val="20"/>
          <w:vertAlign w:val="baseline"/>
        </w:rPr>
        <w:t> </w:t>
      </w:r>
      <w:r>
        <w:rPr>
          <w:sz w:val="20"/>
          <w:vertAlign w:val="baseline"/>
        </w:rPr>
        <w:t>der</w:t>
      </w:r>
      <w:r>
        <w:rPr>
          <w:spacing w:val="60"/>
          <w:sz w:val="20"/>
          <w:vertAlign w:val="baseline"/>
        </w:rPr>
        <w:t> </w:t>
      </w:r>
      <w:r>
        <w:rPr>
          <w:sz w:val="20"/>
          <w:vertAlign w:val="baseline"/>
        </w:rPr>
        <w:t>Abordnung</w:t>
      </w:r>
      <w:r>
        <w:rPr>
          <w:spacing w:val="40"/>
          <w:sz w:val="20"/>
          <w:vertAlign w:val="baseline"/>
        </w:rPr>
        <w:t> </w:t>
      </w:r>
      <w:r>
        <w:rPr>
          <w:sz w:val="20"/>
          <w:vertAlign w:val="baseline"/>
        </w:rPr>
        <w:t>sind</w:t>
      </w:r>
      <w:r>
        <w:rPr>
          <w:spacing w:val="60"/>
          <w:sz w:val="20"/>
          <w:vertAlign w:val="baseline"/>
        </w:rPr>
        <w:t> </w:t>
      </w:r>
      <w:r>
        <w:rPr>
          <w:sz w:val="20"/>
          <w:vertAlign w:val="baseline"/>
        </w:rPr>
        <w:t>vorläufig</w:t>
      </w:r>
      <w:r>
        <w:rPr>
          <w:spacing w:val="40"/>
          <w:sz w:val="20"/>
          <w:vertAlign w:val="baseline"/>
        </w:rPr>
        <w:t> </w:t>
      </w:r>
      <w:r>
        <w:rPr>
          <w:sz w:val="20"/>
          <w:vertAlign w:val="baseline"/>
        </w:rPr>
        <w:t>(Art.</w:t>
      </w:r>
      <w:r>
        <w:rPr>
          <w:spacing w:val="59"/>
          <w:sz w:val="20"/>
          <w:vertAlign w:val="baseline"/>
        </w:rPr>
        <w:t> </w:t>
      </w:r>
      <w:r>
        <w:rPr>
          <w:sz w:val="20"/>
          <w:vertAlign w:val="baseline"/>
        </w:rPr>
        <w:t>4</w:t>
      </w:r>
      <w:r>
        <w:rPr>
          <w:spacing w:val="60"/>
          <w:sz w:val="20"/>
          <w:vertAlign w:val="baseline"/>
        </w:rPr>
        <w:t> </w:t>
      </w:r>
      <w:r>
        <w:rPr>
          <w:sz w:val="20"/>
          <w:vertAlign w:val="baseline"/>
        </w:rPr>
        <w:t>des Beschlusses über abgeordnete nationale Sachverständige (ANS)).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4"/>
        </w:numPr>
        <w:tabs>
          <w:tab w:pos="1081" w:val="left" w:leader="none"/>
        </w:tabs>
        <w:spacing w:line="240" w:lineRule="auto" w:before="68"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2"/>
      </w:pPr>
    </w:p>
    <w:p>
      <w:pPr>
        <w:pStyle w:val="ListParagraph"/>
        <w:numPr>
          <w:ilvl w:val="0"/>
          <w:numId w:val="4"/>
        </w:numPr>
        <w:tabs>
          <w:tab w:pos="1081" w:val="left" w:leader="none"/>
        </w:tabs>
        <w:spacing w:line="240" w:lineRule="auto" w:before="0" w:after="0"/>
        <w:ind w:left="1080" w:right="112"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0"/>
        <w:rPr>
          <w:sz w:val="21"/>
        </w:rPr>
      </w:pPr>
    </w:p>
    <w:p>
      <w:pPr>
        <w:pStyle w:val="ListParagraph"/>
        <w:numPr>
          <w:ilvl w:val="0"/>
          <w:numId w:val="4"/>
        </w:numPr>
        <w:tabs>
          <w:tab w:pos="1081" w:val="left" w:leader="none"/>
        </w:tabs>
        <w:spacing w:line="240" w:lineRule="auto" w:before="0" w:after="0"/>
        <w:ind w:left="1080" w:right="109"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0"/>
          <w:numId w:val="3"/>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1"/>
          <w:numId w:val="3"/>
        </w:numPr>
        <w:tabs>
          <w:tab w:pos="1206" w:val="left" w:leader="none"/>
        </w:tabs>
        <w:spacing w:line="253" w:lineRule="exact" w:before="1"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3"/>
        </w:numPr>
        <w:tabs>
          <w:tab w:pos="1206" w:val="left" w:leader="none"/>
        </w:tabs>
        <w:spacing w:line="480" w:lineRule="auto" w:before="0" w:after="0"/>
        <w:ind w:left="1190" w:right="3329" w:hanging="111"/>
        <w:jc w:val="left"/>
        <w:rPr>
          <w:sz w:val="20"/>
        </w:rPr>
      </w:pPr>
      <w:r>
        <w:rPr>
          <w:sz w:val="22"/>
        </w:rPr>
        <w:t>professional</w:t>
      </w:r>
      <w:r>
        <w:rPr>
          <w:spacing w:val="-2"/>
          <w:sz w:val="22"/>
        </w:rPr>
        <w:t> </w:t>
      </w:r>
      <w:r>
        <w:rPr>
          <w:sz w:val="22"/>
        </w:rPr>
        <w:t>training</w:t>
      </w:r>
      <w:r>
        <w:rPr>
          <w:spacing w:val="-4"/>
          <w:sz w:val="22"/>
        </w:rPr>
        <w:t> </w:t>
      </w:r>
      <w:r>
        <w:rPr>
          <w:sz w:val="22"/>
        </w:rPr>
        <w:t>or</w:t>
      </w:r>
      <w:r>
        <w:rPr>
          <w:spacing w:val="-1"/>
          <w:sz w:val="22"/>
        </w:rPr>
        <w:t> </w:t>
      </w:r>
      <w:r>
        <w:rPr>
          <w:sz w:val="22"/>
        </w:rPr>
        <w:t>professional</w:t>
      </w:r>
      <w:r>
        <w:rPr>
          <w:spacing w:val="-3"/>
          <w:sz w:val="22"/>
        </w:rPr>
        <w:t> </w:t>
      </w:r>
      <w:r>
        <w:rPr>
          <w:sz w:val="22"/>
        </w:rPr>
        <w:t>experience</w:t>
      </w:r>
      <w:r>
        <w:rPr>
          <w:spacing w:val="-3"/>
          <w:sz w:val="22"/>
        </w:rPr>
        <w:t> </w:t>
      </w:r>
      <w:r>
        <w:rPr>
          <w:sz w:val="22"/>
        </w:rPr>
        <w:t>of an</w:t>
      </w:r>
      <w:r>
        <w:rPr>
          <w:spacing w:val="-3"/>
          <w:sz w:val="22"/>
        </w:rPr>
        <w:t> </w:t>
      </w:r>
      <w:r>
        <w:rPr>
          <w:sz w:val="22"/>
        </w:rPr>
        <w:t>equivalent</w:t>
      </w:r>
      <w:r>
        <w:rPr>
          <w:spacing w:val="-3"/>
          <w:sz w:val="22"/>
        </w:rPr>
        <w:t> </w:t>
      </w:r>
      <w:r>
        <w:rPr>
          <w:sz w:val="22"/>
        </w:rPr>
        <w:t>level in the field(s) : </w:t>
      </w:r>
      <w:r>
        <w:rPr>
          <w:sz w:val="20"/>
        </w:rPr>
        <w:t>Economics and/or Finance</w:t>
      </w:r>
    </w:p>
    <w:p>
      <w:pPr>
        <w:pStyle w:val="BodyText"/>
        <w:spacing w:before="1"/>
        <w:ind w:left="1080"/>
      </w:pPr>
      <w:r>
        <w:rPr>
          <w:u w:val="single"/>
        </w:rPr>
        <w:t>Professional</w:t>
      </w:r>
      <w:r>
        <w:rPr>
          <w:spacing w:val="-4"/>
          <w:u w:val="single"/>
        </w:rPr>
        <w:t> </w:t>
      </w:r>
      <w:r>
        <w:rPr>
          <w:spacing w:val="-2"/>
          <w:u w:val="single"/>
        </w:rPr>
        <w:t>experience</w:t>
      </w:r>
    </w:p>
    <w:p>
      <w:pPr>
        <w:pStyle w:val="BodyText"/>
        <w:spacing w:before="1"/>
        <w:rPr>
          <w:sz w:val="14"/>
        </w:rPr>
      </w:pPr>
    </w:p>
    <w:p>
      <w:pPr>
        <w:spacing w:before="91"/>
        <w:ind w:left="1080" w:right="168" w:firstLine="0"/>
        <w:jc w:val="both"/>
        <w:rPr>
          <w:sz w:val="20"/>
        </w:rPr>
      </w:pPr>
      <w:r>
        <w:rPr>
          <w:sz w:val="20"/>
        </w:rPr>
        <w:t>At least 5 years would be desirable. Knowledge of the energy sector, financial institutions and instruments, EU</w:t>
      </w:r>
      <w:r>
        <w:rPr>
          <w:spacing w:val="40"/>
          <w:sz w:val="20"/>
        </w:rPr>
        <w:t> </w:t>
      </w:r>
      <w:r>
        <w:rPr>
          <w:sz w:val="20"/>
        </w:rPr>
        <w:t>energy policy and EU decision-making procedures is necessary. Knowledge of the development, administration and implementation of policies and measures in the field of energy. Excellent analytical, drafting, oral and written communication skills. Ability to work with various teams and to coordinate </w:t>
      </w:r>
      <w:r>
        <w:rPr>
          <w:sz w:val="22"/>
        </w:rPr>
        <w:t>efficiently </w:t>
      </w:r>
      <w:r>
        <w:rPr>
          <w:sz w:val="20"/>
        </w:rPr>
        <w:t>both inside DG ENER and with other Commission services, Ability to work in a proactive and autonomous way.</w:t>
      </w:r>
    </w:p>
    <w:p>
      <w:pPr>
        <w:pStyle w:val="BodyText"/>
      </w:pPr>
    </w:p>
    <w:p>
      <w:pPr>
        <w:pStyle w:val="BodyText"/>
        <w:ind w:left="1080"/>
        <w:jc w:val="both"/>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spacing w:before="91"/>
        <w:ind w:left="1080" w:right="0" w:firstLine="0"/>
        <w:jc w:val="left"/>
        <w:rPr>
          <w:sz w:val="20"/>
        </w:rPr>
      </w:pPr>
      <w:r>
        <w:rPr>
          <w:sz w:val="20"/>
        </w:rPr>
        <w:t>Excellent</w:t>
      </w:r>
      <w:r>
        <w:rPr>
          <w:spacing w:val="-6"/>
          <w:sz w:val="20"/>
        </w:rPr>
        <w:t> </w:t>
      </w:r>
      <w:r>
        <w:rPr>
          <w:sz w:val="20"/>
        </w:rPr>
        <w:t>command</w:t>
      </w:r>
      <w:r>
        <w:rPr>
          <w:spacing w:val="-4"/>
          <w:sz w:val="20"/>
        </w:rPr>
        <w:t> </w:t>
      </w:r>
      <w:r>
        <w:rPr>
          <w:sz w:val="20"/>
        </w:rPr>
        <w:t>(oral</w:t>
      </w:r>
      <w:r>
        <w:rPr>
          <w:spacing w:val="-5"/>
          <w:sz w:val="20"/>
        </w:rPr>
        <w:t> </w:t>
      </w:r>
      <w:r>
        <w:rPr>
          <w:sz w:val="20"/>
        </w:rPr>
        <w:t>and</w:t>
      </w:r>
      <w:r>
        <w:rPr>
          <w:spacing w:val="-4"/>
          <w:sz w:val="20"/>
        </w:rPr>
        <w:t> </w:t>
      </w:r>
      <w:r>
        <w:rPr>
          <w:sz w:val="20"/>
        </w:rPr>
        <w:t>written)</w:t>
      </w:r>
      <w:r>
        <w:rPr>
          <w:spacing w:val="-5"/>
          <w:sz w:val="20"/>
        </w:rPr>
        <w:t> </w:t>
      </w:r>
      <w:r>
        <w:rPr>
          <w:sz w:val="20"/>
        </w:rPr>
        <w:t>of</w:t>
      </w:r>
      <w:r>
        <w:rPr>
          <w:spacing w:val="-7"/>
          <w:sz w:val="20"/>
        </w:rPr>
        <w:t> </w:t>
      </w:r>
      <w:r>
        <w:rPr>
          <w:sz w:val="20"/>
        </w:rPr>
        <w:t>English</w:t>
      </w:r>
      <w:r>
        <w:rPr>
          <w:spacing w:val="-6"/>
          <w:sz w:val="20"/>
        </w:rPr>
        <w:t> </w:t>
      </w:r>
      <w:r>
        <w:rPr>
          <w:sz w:val="20"/>
        </w:rPr>
        <w:t>is</w:t>
      </w:r>
      <w:r>
        <w:rPr>
          <w:spacing w:val="-6"/>
          <w:sz w:val="20"/>
        </w:rPr>
        <w:t> </w:t>
      </w:r>
      <w:r>
        <w:rPr>
          <w:sz w:val="20"/>
        </w:rPr>
        <w:t>desirable,</w:t>
      </w:r>
      <w:r>
        <w:rPr>
          <w:spacing w:val="-4"/>
          <w:sz w:val="20"/>
        </w:rPr>
        <w:t> </w:t>
      </w:r>
      <w:r>
        <w:rPr>
          <w:sz w:val="20"/>
        </w:rPr>
        <w:t>knowledge</w:t>
      </w:r>
      <w:r>
        <w:rPr>
          <w:spacing w:val="-5"/>
          <w:sz w:val="20"/>
        </w:rPr>
        <w:t> </w:t>
      </w:r>
      <w:r>
        <w:rPr>
          <w:sz w:val="20"/>
        </w:rPr>
        <w:t>of</w:t>
      </w:r>
      <w:r>
        <w:rPr>
          <w:spacing w:val="-7"/>
          <w:sz w:val="20"/>
        </w:rPr>
        <w:t> </w:t>
      </w:r>
      <w:r>
        <w:rPr>
          <w:sz w:val="20"/>
        </w:rPr>
        <w:t>other</w:t>
      </w:r>
      <w:r>
        <w:rPr>
          <w:spacing w:val="-4"/>
          <w:sz w:val="20"/>
        </w:rPr>
        <w:t> </w:t>
      </w:r>
      <w:r>
        <w:rPr>
          <w:sz w:val="20"/>
        </w:rPr>
        <w:t>EU</w:t>
      </w:r>
      <w:r>
        <w:rPr>
          <w:spacing w:val="3"/>
          <w:sz w:val="20"/>
        </w:rPr>
        <w:t> </w:t>
      </w:r>
      <w:r>
        <w:rPr>
          <w:sz w:val="20"/>
        </w:rPr>
        <w:t>languages</w:t>
      </w:r>
      <w:r>
        <w:rPr>
          <w:spacing w:val="-3"/>
          <w:sz w:val="20"/>
        </w:rPr>
        <w:t> </w:t>
      </w:r>
      <w:r>
        <w:rPr>
          <w:sz w:val="20"/>
        </w:rPr>
        <w:t>would</w:t>
      </w:r>
      <w:r>
        <w:rPr>
          <w:spacing w:val="-4"/>
          <w:sz w:val="20"/>
        </w:rPr>
        <w:t> </w:t>
      </w:r>
      <w:r>
        <w:rPr>
          <w:sz w:val="20"/>
        </w:rPr>
        <w:t>be</w:t>
      </w:r>
      <w:r>
        <w:rPr>
          <w:spacing w:val="-5"/>
          <w:sz w:val="20"/>
        </w:rPr>
        <w:t> </w:t>
      </w:r>
      <w:r>
        <w:rPr>
          <w:sz w:val="20"/>
        </w:rPr>
        <w:t>an</w:t>
      </w:r>
      <w:r>
        <w:rPr>
          <w:spacing w:val="-6"/>
          <w:sz w:val="20"/>
        </w:rPr>
        <w:t> </w:t>
      </w:r>
      <w:r>
        <w:rPr>
          <w:spacing w:val="-2"/>
          <w:sz w:val="20"/>
        </w:rPr>
        <w:t>asset.</w:t>
      </w:r>
    </w:p>
    <w:p>
      <w:pPr>
        <w:pStyle w:val="BodyText"/>
        <w:spacing w:before="5"/>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spacing w:line="251" w:lineRule="exact"/>
        <w:ind w:left="799"/>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ListParagraph"/>
        <w:numPr>
          <w:ilvl w:val="0"/>
          <w:numId w:val="2"/>
        </w:numPr>
        <w:tabs>
          <w:tab w:pos="799" w:val="left" w:leader="none"/>
          <w:tab w:pos="800" w:val="left" w:leader="none"/>
        </w:tabs>
        <w:spacing w:line="240" w:lineRule="auto" w:before="7"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3"/>
          <w:sz w:val="24"/>
          <w:u w:val="single"/>
        </w:rPr>
        <w:t> </w:t>
      </w:r>
      <w:r>
        <w:rPr>
          <w:b/>
          <w:sz w:val="24"/>
          <w:u w:val="single"/>
        </w:rPr>
        <w:t>the</w:t>
      </w:r>
      <w:r>
        <w:rPr>
          <w:b/>
          <w:spacing w:val="-6"/>
          <w:sz w:val="24"/>
          <w:u w:val="single"/>
        </w:rPr>
        <w:t> </w:t>
      </w:r>
      <w:r>
        <w:rPr>
          <w:b/>
          <w:spacing w:val="-2"/>
          <w:sz w:val="24"/>
          <w:u w:val="single"/>
        </w:rPr>
        <w:t>secondment</w:t>
      </w:r>
    </w:p>
    <w:p>
      <w:pPr>
        <w:pStyle w:val="BodyText"/>
        <w:spacing w:before="7"/>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5"/>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spacing w:before="10"/>
        <w:rPr>
          <w:sz w:val="21"/>
        </w:rPr>
      </w:pPr>
    </w:p>
    <w:p>
      <w:pPr>
        <w:pStyle w:val="BodyText"/>
        <w:ind w:left="799" w:right="290"/>
        <w:jc w:val="both"/>
      </w:pPr>
      <w:r>
        <w:rPr/>
        <w:t>During the secondment, SNE are subject to confidentiality, loyalty and absence of conflict of interest obligations, as provided for in Art. 6 and 7 of the SNE Decision.</w:t>
      </w:r>
    </w:p>
    <w:p>
      <w:pPr>
        <w:pStyle w:val="BodyText"/>
        <w:spacing w:before="1"/>
        <w:ind w:left="799"/>
        <w:jc w:val="both"/>
      </w:pPr>
      <w:r>
        <w:rPr/>
        <w:t>If</w:t>
      </w:r>
      <w:r>
        <w:rPr>
          <w:spacing w:val="-3"/>
        </w:rPr>
        <w:t> </w:t>
      </w:r>
      <w:r>
        <w:rPr/>
        <w:t>any</w:t>
      </w:r>
      <w:r>
        <w:rPr>
          <w:spacing w:val="-5"/>
        </w:rPr>
        <w:t> </w:t>
      </w:r>
      <w:r>
        <w:rPr/>
        <w:t>document</w:t>
      </w:r>
      <w:r>
        <w:rPr>
          <w:spacing w:val="-2"/>
        </w:rPr>
        <w:t> </w:t>
      </w:r>
      <w:r>
        <w:rPr/>
        <w:t>is</w:t>
      </w:r>
      <w:r>
        <w:rPr>
          <w:spacing w:val="-4"/>
        </w:rPr>
        <w:t> </w:t>
      </w:r>
      <w:r>
        <w:rPr/>
        <w:t>inexact,</w:t>
      </w:r>
      <w:r>
        <w:rPr>
          <w:spacing w:val="-6"/>
        </w:rPr>
        <w:t> </w:t>
      </w:r>
      <w:r>
        <w:rPr/>
        <w:t>incomplete</w:t>
      </w:r>
      <w:r>
        <w:rPr>
          <w:spacing w:val="-3"/>
        </w:rPr>
        <w:t> </w:t>
      </w:r>
      <w:r>
        <w:rPr/>
        <w:t>or</w:t>
      </w:r>
      <w:r>
        <w:rPr>
          <w:spacing w:val="-2"/>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spacing w:after="0"/>
        <w:jc w:val="both"/>
        <w:sectPr>
          <w:pgSz w:w="11910" w:h="16840"/>
          <w:pgMar w:header="0" w:footer="690" w:top="1040" w:bottom="880" w:left="480" w:right="740"/>
        </w:sectPr>
      </w:pPr>
    </w:p>
    <w:p>
      <w:pPr>
        <w:pStyle w:val="BodyText"/>
        <w:spacing w:before="62"/>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16"/>
        <w:jc w:val="both"/>
      </w:pPr>
      <w:r>
        <w:rPr/>
        <w:t>The selected candidate has the obligation to launch the vetting procedure before getting the secondment </w:t>
      </w:r>
      <w:r>
        <w:rPr>
          <w:spacing w:val="-2"/>
        </w:rPr>
        <w:t>confirmation.</w:t>
      </w:r>
    </w:p>
    <w:p>
      <w:pPr>
        <w:pStyle w:val="BodyText"/>
        <w:spacing w:before="6"/>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1"/>
        <w:ind w:left="799" w:right="285"/>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9" w:right="291"/>
        <w:jc w:val="both"/>
      </w:pPr>
      <w:r>
        <w:rPr/>
        <w:t>Data is kept by the competent services for 10 years after the secondment (2 years for not selected or not seconded experts).</w:t>
      </w:r>
    </w:p>
    <w:p>
      <w:pPr>
        <w:pStyle w:val="BodyText"/>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3"/>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5"/>
      </w:pPr>
    </w:p>
    <w:p>
      <w:pPr>
        <w:pStyle w:val="Heading1"/>
        <w:ind w:left="799" w:firstLine="0"/>
      </w:pPr>
      <w:r>
        <w:rPr>
          <w:u w:val="single"/>
        </w:rPr>
        <w:t>Contact</w:t>
      </w:r>
      <w:r>
        <w:rPr>
          <w:spacing w:val="-4"/>
          <w:u w:val="single"/>
        </w:rPr>
        <w:t> </w:t>
      </w:r>
      <w:r>
        <w:rPr>
          <w:spacing w:val="-2"/>
          <w:u w:val="single"/>
        </w:rPr>
        <w:t>information</w:t>
      </w:r>
    </w:p>
    <w:p>
      <w:pPr>
        <w:pStyle w:val="BodyText"/>
        <w:spacing w:before="11"/>
        <w:rPr>
          <w:b/>
          <w:sz w:val="21"/>
        </w:rPr>
      </w:pPr>
    </w:p>
    <w:p>
      <w:pPr>
        <w:pStyle w:val="ListParagraph"/>
        <w:numPr>
          <w:ilvl w:val="0"/>
          <w:numId w:val="5"/>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pStyle w:val="BodyText"/>
        <w:spacing w:before="3"/>
      </w:pPr>
    </w:p>
    <w:p>
      <w:pPr>
        <w:pStyle w:val="Heading1"/>
        <w:numPr>
          <w:ilvl w:val="0"/>
          <w:numId w:val="5"/>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3"/>
        </w:rPr>
        <w:t> </w:t>
      </w:r>
      <w:r>
        <w:rPr/>
        <w:t>Officer</w:t>
      </w:r>
      <w:r>
        <w:rPr>
          <w:spacing w:val="-3"/>
        </w:rPr>
        <w:t> </w:t>
      </w:r>
      <w:r>
        <w:rPr/>
        <w:t>(DPO)</w:t>
      </w:r>
      <w:r>
        <w:rPr>
          <w:spacing w:val="-2"/>
        </w:rPr>
        <w:t> </w:t>
      </w:r>
      <w:r>
        <w:rPr/>
        <w:t>of</w:t>
      </w:r>
      <w:r>
        <w:rPr>
          <w:spacing w:val="-3"/>
        </w:rPr>
        <w:t> </w:t>
      </w:r>
      <w:r>
        <w:rPr/>
        <w:t>the</w:t>
      </w:r>
      <w:r>
        <w:rPr>
          <w:spacing w:val="-3"/>
        </w:rPr>
        <w:t> </w:t>
      </w:r>
      <w:r>
        <w:rPr>
          <w:spacing w:val="-2"/>
        </w:rPr>
        <w:t>Commission</w:t>
      </w:r>
    </w:p>
    <w:p>
      <w:pPr>
        <w:pStyle w:val="BodyText"/>
        <w:spacing w:line="242" w:lineRule="auto"/>
        <w:ind w:left="1080" w:right="280"/>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pPr>
    </w:p>
    <w:p>
      <w:pPr>
        <w:pStyle w:val="Heading1"/>
        <w:numPr>
          <w:ilvl w:val="0"/>
          <w:numId w:val="5"/>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6"/>
        <w:jc w:val="both"/>
      </w:pPr>
      <w:r>
        <w:rPr/>
        <w:pict>
          <v:rect style="position:absolute;margin-left:230.330002pt;margin-top:24.069553pt;width:3.72pt;height:.47998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6"/>
        </w:rPr>
        <w:t> </w:t>
      </w:r>
      <w:r>
        <w:rPr/>
        <w:t>the</w:t>
      </w:r>
      <w:r>
        <w:rPr>
          <w:spacing w:val="-4"/>
        </w:rPr>
        <w:t> </w:t>
      </w:r>
      <w:r>
        <w:rPr/>
        <w:t>attention</w:t>
      </w:r>
      <w:r>
        <w:rPr>
          <w:spacing w:val="-3"/>
        </w:rPr>
        <w:t> </w:t>
      </w:r>
      <w:r>
        <w:rPr/>
        <w:t>of</w:t>
      </w:r>
      <w:r>
        <w:rPr>
          <w:spacing w:val="-4"/>
        </w:rPr>
        <w:t> </w:t>
      </w:r>
      <w:r>
        <w:rPr/>
        <w:t>candidates</w:t>
      </w:r>
      <w:r>
        <w:rPr>
          <w:spacing w:val="-2"/>
        </w:rPr>
        <w:t> </w:t>
      </w:r>
      <w:r>
        <w:rPr/>
        <w:t>from</w:t>
      </w:r>
      <w:r>
        <w:rPr>
          <w:spacing w:val="-7"/>
        </w:rPr>
        <w:t> </w:t>
      </w:r>
      <w:r>
        <w:rPr/>
        <w:t>third</w:t>
      </w:r>
      <w:r>
        <w:rPr>
          <w:spacing w:val="-5"/>
        </w:rPr>
        <w:t> </w:t>
      </w:r>
      <w:r>
        <w:rPr/>
        <w:t>countries:</w:t>
      </w:r>
      <w:r>
        <w:rPr>
          <w:spacing w:val="-1"/>
        </w:rPr>
        <w:t> </w:t>
      </w:r>
      <w:r>
        <w:rPr/>
        <w:t>your</w:t>
      </w:r>
      <w:r>
        <w:rPr>
          <w:spacing w:val="-3"/>
        </w:rPr>
        <w:t> </w:t>
      </w:r>
      <w:r>
        <w:rPr/>
        <w:t>personal</w:t>
      </w:r>
      <w:r>
        <w:rPr>
          <w:spacing w:val="-1"/>
        </w:rPr>
        <w:t> </w:t>
      </w:r>
      <w:r>
        <w:rPr/>
        <w:t>data</w:t>
      </w:r>
      <w:r>
        <w:rPr>
          <w:spacing w:val="-5"/>
        </w:rPr>
        <w:t> </w:t>
      </w:r>
      <w:r>
        <w:rPr/>
        <w:t>can</w:t>
      </w:r>
      <w:r>
        <w:rPr>
          <w:spacing w:val="-2"/>
        </w:rPr>
        <w:t> </w:t>
      </w:r>
      <w:r>
        <w:rPr/>
        <w:t>be</w:t>
      </w:r>
      <w:r>
        <w:rPr>
          <w:spacing w:val="-2"/>
        </w:rPr>
        <w:t> </w:t>
      </w:r>
      <w:r>
        <w:rPr/>
        <w:t>used</w:t>
      </w:r>
      <w:r>
        <w:rPr>
          <w:spacing w:val="-5"/>
        </w:rPr>
        <w:t> </w:t>
      </w:r>
      <w:r>
        <w:rPr/>
        <w:t>for</w:t>
      </w:r>
      <w:r>
        <w:rPr>
          <w:spacing w:val="-2"/>
        </w:rPr>
        <w:t> </w:t>
      </w:r>
      <w:r>
        <w:rPr/>
        <w:t>necessary</w:t>
      </w:r>
      <w:r>
        <w:rPr>
          <w:spacing w:val="-5"/>
        </w:rPr>
        <w:t> </w:t>
      </w:r>
      <w:r>
        <w:rPr>
          <w:spacing w:val="-2"/>
        </w:rPr>
        <w:t>checks.</w:t>
      </w:r>
    </w:p>
    <w:sectPr>
      <w:pgSz w:w="11910" w:h="16840"/>
      <w:pgMar w:header="0" w:footer="690" w:top="130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568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0">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92" w:hanging="361"/>
      </w:pPr>
      <w:rPr>
        <w:rFonts w:hint="default" w:ascii="Symbol" w:hAnsi="Symbol" w:eastAsia="Symbol" w:cs="Symbol"/>
        <w:b w:val="0"/>
        <w:bCs w:val="0"/>
        <w:i w:val="0"/>
        <w:iCs w:val="0"/>
        <w:w w:val="100"/>
        <w:sz w:val="22"/>
        <w:szCs w:val="22"/>
        <w:lang w:val="en-US" w:eastAsia="en-US" w:bidi="ar-SA"/>
      </w:rPr>
    </w:lvl>
    <w:lvl w:ilvl="2">
      <w:start w:val="0"/>
      <w:numFmt w:val="bullet"/>
      <w:lvlText w:val="•"/>
      <w:lvlJc w:val="left"/>
      <w:pPr>
        <w:ind w:left="2165" w:hanging="361"/>
      </w:pPr>
      <w:rPr>
        <w:rFonts w:hint="default"/>
        <w:lang w:val="en-US" w:eastAsia="en-US" w:bidi="ar-SA"/>
      </w:rPr>
    </w:lvl>
    <w:lvl w:ilvl="3">
      <w:start w:val="0"/>
      <w:numFmt w:val="bullet"/>
      <w:lvlText w:val="•"/>
      <w:lvlJc w:val="left"/>
      <w:pPr>
        <w:ind w:left="3230" w:hanging="361"/>
      </w:pPr>
      <w:rPr>
        <w:rFonts w:hint="default"/>
        <w:lang w:val="en-US" w:eastAsia="en-US" w:bidi="ar-SA"/>
      </w:rPr>
    </w:lvl>
    <w:lvl w:ilvl="4">
      <w:start w:val="0"/>
      <w:numFmt w:val="bullet"/>
      <w:lvlText w:val="•"/>
      <w:lvlJc w:val="left"/>
      <w:pPr>
        <w:ind w:left="4295" w:hanging="361"/>
      </w:pPr>
      <w:rPr>
        <w:rFonts w:hint="default"/>
        <w:lang w:val="en-US" w:eastAsia="en-US" w:bidi="ar-SA"/>
      </w:rPr>
    </w:lvl>
    <w:lvl w:ilvl="5">
      <w:start w:val="0"/>
      <w:numFmt w:val="bullet"/>
      <w:lvlText w:val="•"/>
      <w:lvlJc w:val="left"/>
      <w:pPr>
        <w:ind w:left="5360" w:hanging="361"/>
      </w:pPr>
      <w:rPr>
        <w:rFonts w:hint="default"/>
        <w:lang w:val="en-US" w:eastAsia="en-US" w:bidi="ar-SA"/>
      </w:rPr>
    </w:lvl>
    <w:lvl w:ilvl="6">
      <w:start w:val="0"/>
      <w:numFmt w:val="bullet"/>
      <w:lvlText w:val="•"/>
      <w:lvlJc w:val="left"/>
      <w:pPr>
        <w:ind w:left="6425" w:hanging="361"/>
      </w:pPr>
      <w:rPr>
        <w:rFonts w:hint="default"/>
        <w:lang w:val="en-US" w:eastAsia="en-US" w:bidi="ar-SA"/>
      </w:rPr>
    </w:lvl>
    <w:lvl w:ilvl="7">
      <w:start w:val="0"/>
      <w:numFmt w:val="bullet"/>
      <w:lvlText w:val="•"/>
      <w:lvlJc w:val="left"/>
      <w:pPr>
        <w:ind w:left="7490" w:hanging="361"/>
      </w:pPr>
      <w:rPr>
        <w:rFonts w:hint="default"/>
        <w:lang w:val="en-US" w:eastAsia="en-US" w:bidi="ar-SA"/>
      </w:rPr>
    </w:lvl>
    <w:lvl w:ilvl="8">
      <w:start w:val="0"/>
      <w:numFmt w:val="bullet"/>
      <w:lvlText w:val="•"/>
      <w:lvlJc w:val="left"/>
      <w:pPr>
        <w:ind w:left="8556" w:hanging="361"/>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iguel.GIL-TERTRE@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2023-03-15T15:25:03Z</dcterms:created>
  <dcterms:modified xsi:type="dcterms:W3CDTF">2023-03-15T15:25:03Z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