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73E00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3019BB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Pr="008C3A1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8C5AA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8C5AA3" w:rsidRPr="008C5AA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8C5AA3" w:rsidRPr="008C5AA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8C5AA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373E00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8C5AA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46688D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E84A7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812B8E" w:rsidRPr="00C324D1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</w:p>
          <w:p w:rsidR="009A77B6" w:rsidRDefault="009A77B6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FA414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9A77B6" w:rsidRPr="00835C16" w:rsidRDefault="009A77B6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3019BB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373E0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15</w:t>
            </w:r>
            <w:bookmarkStart w:id="0" w:name="_GoBack"/>
            <w:bookmarkEnd w:id="0"/>
            <w:r w:rsidR="00A81E9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60491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r w:rsidR="003019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F60491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D63257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6049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F60491" w:rsidRPr="00F6049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45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6325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57</w:t>
            </w:r>
            <w:r w:rsidR="00D63257" w:rsidRPr="00D6325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09</w:t>
            </w:r>
          </w:p>
          <w:p w:rsidR="00F60491" w:rsidRPr="00D63257" w:rsidRDefault="00F60491" w:rsidP="00F60491">
            <w:pPr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t xml:space="preserve">                                       </w:t>
            </w:r>
            <w:proofErr w:type="spellStart"/>
            <w:r w:rsidR="00D63257">
              <w:rPr>
                <w:rFonts w:ascii="Calibri" w:hAnsi="Calibri"/>
                <w:sz w:val="22"/>
                <w:szCs w:val="22"/>
                <w:lang w:val="el-GR"/>
              </w:rPr>
              <w:t>Σχ</w:t>
            </w:r>
            <w:proofErr w:type="spellEnd"/>
            <w:r w:rsidR="00D63257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D63257" w:rsidRPr="00D63257">
              <w:rPr>
                <w:rFonts w:ascii="Calibri" w:hAnsi="Calibri"/>
                <w:sz w:val="22"/>
                <w:szCs w:val="22"/>
                <w:lang w:val="el-GR"/>
              </w:rPr>
              <w:t>3324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66C11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</w:t>
            </w:r>
            <w:r w:rsidR="00D66C11">
              <w:rPr>
                <w:rFonts w:asciiTheme="minorHAnsi" w:hAnsiTheme="minorHAnsi" w:cs="Tahoma"/>
                <w:sz w:val="22"/>
                <w:szCs w:val="22"/>
                <w:lang w:val="el-GR"/>
              </w:rPr>
              <w:t>υθύνσεις Διοικητικού /Προσωπικού</w:t>
            </w:r>
          </w:p>
          <w:p w:rsidR="001D6864" w:rsidRPr="00835C16" w:rsidRDefault="00D66C11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D66C11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D66C11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373E0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D3FBF" w:rsidRDefault="004D3FB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8D7596" w:rsidRDefault="009613EF" w:rsidP="000E2905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7117B5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74A62">
        <w:rPr>
          <w:rFonts w:asciiTheme="minorHAnsi" w:hAnsiTheme="minorHAnsi" w:cs="Tahoma"/>
          <w:b/>
          <w:bCs/>
          <w:sz w:val="24"/>
          <w:szCs w:val="24"/>
          <w:lang w:val="el-GR"/>
        </w:rPr>
        <w:t>στ</w:t>
      </w:r>
      <w:r w:rsidR="000E2905">
        <w:rPr>
          <w:rFonts w:asciiTheme="minorHAnsi" w:hAnsiTheme="minorHAnsi" w:cs="Tahoma"/>
          <w:b/>
          <w:bCs/>
          <w:sz w:val="24"/>
          <w:szCs w:val="24"/>
          <w:lang w:val="el-GR"/>
        </w:rPr>
        <w:t>ο Γραφείο Υποδομών και Διοικητικής Υποστήριξης στις Βρυξέλλες (OIB)</w:t>
      </w:r>
      <w:r w:rsidR="000E2905" w:rsidRPr="000E290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74A6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της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274A62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663B4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Επιτροπή</w:t>
      </w:r>
      <w:r w:rsidR="00274A62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D75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44D7" w:rsidRPr="00F3016C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A81E9F"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0E2905" w:rsidRPr="000E2905">
        <w:rPr>
          <w:rFonts w:asciiTheme="minorHAnsi" w:hAnsiTheme="minorHAnsi" w:cs="Tahoma"/>
          <w:sz w:val="24"/>
          <w:szCs w:val="24"/>
          <w:lang w:val="el-GR"/>
        </w:rPr>
        <w:t>419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0E2905">
        <w:rPr>
          <w:rFonts w:asciiTheme="minorHAnsi" w:hAnsiTheme="minorHAnsi" w:cs="Tahoma"/>
          <w:sz w:val="24"/>
          <w:szCs w:val="24"/>
          <w:lang w:val="el-GR"/>
        </w:rPr>
        <w:t>2</w:t>
      </w:r>
      <w:r w:rsidR="000E2905" w:rsidRPr="000E2905">
        <w:rPr>
          <w:rFonts w:asciiTheme="minorHAnsi" w:hAnsiTheme="minorHAnsi" w:cs="Tahoma"/>
          <w:sz w:val="24"/>
          <w:szCs w:val="24"/>
          <w:lang w:val="el-GR"/>
        </w:rPr>
        <w:t>3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482377" w:rsidRPr="00482377">
        <w:rPr>
          <w:rFonts w:asciiTheme="minorHAnsi" w:hAnsiTheme="minorHAnsi" w:cs="Tahoma"/>
          <w:sz w:val="24"/>
          <w:szCs w:val="24"/>
          <w:lang w:val="el-GR"/>
        </w:rPr>
        <w:t>0</w:t>
      </w:r>
      <w:r w:rsidR="00482377">
        <w:rPr>
          <w:rFonts w:asciiTheme="minorHAnsi" w:hAnsiTheme="minorHAnsi" w:cs="Tahoma"/>
          <w:sz w:val="24"/>
          <w:szCs w:val="24"/>
          <w:lang w:val="el-GR"/>
        </w:rPr>
        <w:t>1-201</w:t>
      </w:r>
      <w:r w:rsidR="00482377" w:rsidRPr="00482377">
        <w:rPr>
          <w:rFonts w:asciiTheme="minorHAnsi" w:hAnsiTheme="minorHAnsi" w:cs="Tahoma"/>
          <w:sz w:val="24"/>
          <w:szCs w:val="24"/>
          <w:lang w:val="el-GR"/>
        </w:rPr>
        <w:t>9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6B77E9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663B4C">
        <w:rPr>
          <w:rFonts w:asciiTheme="minorHAnsi" w:hAnsiTheme="minorHAnsi" w:cs="Tahoma"/>
          <w:sz w:val="24"/>
          <w:szCs w:val="24"/>
          <w:lang w:val="el-GR"/>
        </w:rPr>
        <w:t>η Ευρωπαϊκή Επιτροπή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 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46688D">
        <w:rPr>
          <w:rFonts w:asciiTheme="minorHAnsi" w:hAnsiTheme="minorHAnsi" w:cs="Tahoma"/>
          <w:sz w:val="24"/>
          <w:szCs w:val="24"/>
          <w:lang w:val="el-GR"/>
        </w:rPr>
        <w:t xml:space="preserve"> για την </w:t>
      </w:r>
      <w:r w:rsidR="00F20E2F">
        <w:rPr>
          <w:rFonts w:asciiTheme="minorHAnsi" w:hAnsiTheme="minorHAnsi" w:cs="Tahoma"/>
          <w:sz w:val="24"/>
          <w:szCs w:val="24"/>
          <w:lang w:val="el-GR"/>
        </w:rPr>
        <w:t>πλήρωση</w:t>
      </w:r>
      <w:r w:rsidR="00F20E2F" w:rsidRPr="00F20E2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117B5">
        <w:rPr>
          <w:rFonts w:asciiTheme="minorHAnsi" w:hAnsiTheme="minorHAnsi" w:cs="Tahoma"/>
          <w:sz w:val="24"/>
          <w:szCs w:val="24"/>
          <w:lang w:val="el-GR"/>
        </w:rPr>
        <w:t>θέσης</w:t>
      </w:r>
      <w:r w:rsidR="00F20E2F" w:rsidRPr="00F20E2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20E2F">
        <w:rPr>
          <w:rFonts w:asciiTheme="minorHAnsi" w:hAnsiTheme="minorHAnsi" w:cs="Tahoma"/>
          <w:sz w:val="24"/>
          <w:szCs w:val="24"/>
          <w:lang w:val="el-GR"/>
        </w:rPr>
        <w:t>διοικητικού υπαλλήλου</w:t>
      </w:r>
      <w:r w:rsidR="000E2905" w:rsidRPr="000E290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E2905">
        <w:rPr>
          <w:rFonts w:asciiTheme="minorHAnsi" w:hAnsiTheme="minorHAnsi" w:cs="Tahoma"/>
          <w:sz w:val="24"/>
          <w:szCs w:val="24"/>
          <w:lang w:val="el-GR"/>
        </w:rPr>
        <w:t xml:space="preserve">(επίπεδο </w:t>
      </w:r>
      <w:r w:rsidR="000E2905">
        <w:rPr>
          <w:rFonts w:asciiTheme="minorHAnsi" w:hAnsiTheme="minorHAnsi" w:cs="Tahoma"/>
          <w:sz w:val="24"/>
          <w:szCs w:val="24"/>
          <w:lang w:val="en-US"/>
        </w:rPr>
        <w:t>AD</w:t>
      </w:r>
      <w:r w:rsidR="000E2905" w:rsidRPr="000E2905">
        <w:rPr>
          <w:rFonts w:asciiTheme="minorHAnsi" w:hAnsiTheme="minorHAnsi" w:cs="Tahoma"/>
          <w:sz w:val="24"/>
          <w:szCs w:val="24"/>
          <w:lang w:val="el-GR"/>
        </w:rPr>
        <w:t>8)</w:t>
      </w:r>
      <w:r w:rsidR="000E2905">
        <w:rPr>
          <w:rFonts w:asciiTheme="minorHAnsi" w:hAnsiTheme="minorHAnsi" w:cs="Tahoma"/>
          <w:sz w:val="24"/>
          <w:szCs w:val="24"/>
          <w:lang w:val="el-GR"/>
        </w:rPr>
        <w:t xml:space="preserve"> στο Γραφείο Υποδομών και Διοικητικ</w:t>
      </w:r>
      <w:r w:rsidR="00080427">
        <w:rPr>
          <w:rFonts w:asciiTheme="minorHAnsi" w:hAnsiTheme="minorHAnsi" w:cs="Tahoma"/>
          <w:sz w:val="24"/>
          <w:szCs w:val="24"/>
          <w:lang w:val="el-GR"/>
        </w:rPr>
        <w:t xml:space="preserve">ής Υποστήριξης στον τομέα διαχείρισης ακινήτων στις Βρυξέλλες, για να ενεργεί ως </w:t>
      </w:r>
      <w:r w:rsidR="0050184E">
        <w:rPr>
          <w:rFonts w:asciiTheme="minorHAnsi" w:hAnsiTheme="minorHAnsi" w:cs="Tahoma"/>
          <w:sz w:val="24"/>
          <w:szCs w:val="24"/>
          <w:lang w:val="el-GR"/>
        </w:rPr>
        <w:t>«</w:t>
      </w:r>
      <w:r w:rsidR="00080427">
        <w:rPr>
          <w:rFonts w:asciiTheme="minorHAnsi" w:hAnsiTheme="minorHAnsi" w:cs="Tahoma"/>
          <w:sz w:val="24"/>
          <w:szCs w:val="24"/>
          <w:lang w:val="el-GR"/>
        </w:rPr>
        <w:t>επικεφαλής αρχιτέκτονας της Επιτροπής»</w:t>
      </w:r>
      <w:r w:rsidR="00CD6E06" w:rsidRPr="00CD6E0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C603D4">
        <w:rPr>
          <w:rFonts w:asciiTheme="minorHAnsi" w:hAnsiTheme="minorHAnsi" w:cs="Tahoma"/>
          <w:sz w:val="24"/>
          <w:szCs w:val="24"/>
          <w:lang w:val="el-GR"/>
        </w:rPr>
        <w:t>με στοιχεία:</w:t>
      </w:r>
    </w:p>
    <w:p w:rsidR="00FB44D7" w:rsidRPr="00F6371A" w:rsidRDefault="00BB2591" w:rsidP="00FB44D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8C3A12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1719DE" w:rsidRPr="00BB2591">
        <w:rPr>
          <w:rFonts w:asciiTheme="minorHAnsi" w:hAnsiTheme="minorHAnsi" w:cs="Tahoma"/>
          <w:b/>
          <w:sz w:val="24"/>
          <w:szCs w:val="24"/>
          <w:lang w:val="en-US"/>
        </w:rPr>
        <w:t>COM</w:t>
      </w:r>
      <w:r w:rsidR="001719DE" w:rsidRPr="008C3A12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1719DE" w:rsidRPr="00BB2591">
        <w:rPr>
          <w:rFonts w:asciiTheme="minorHAnsi" w:hAnsiTheme="minorHAnsi" w:cs="Tahoma"/>
          <w:b/>
          <w:sz w:val="24"/>
          <w:szCs w:val="24"/>
          <w:lang w:val="en-US"/>
        </w:rPr>
        <w:t>TA</w:t>
      </w:r>
      <w:r w:rsidR="001719DE" w:rsidRPr="008C3A12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080427" w:rsidRPr="0019541D">
        <w:rPr>
          <w:rFonts w:asciiTheme="minorHAnsi" w:hAnsiTheme="minorHAnsi" w:cs="Tahoma"/>
          <w:b/>
          <w:sz w:val="24"/>
          <w:szCs w:val="24"/>
          <w:lang w:val="el-GR"/>
        </w:rPr>
        <w:t>ΟΙΒ</w:t>
      </w:r>
      <w:r w:rsidR="00E66ECD">
        <w:rPr>
          <w:rFonts w:asciiTheme="minorHAnsi" w:hAnsiTheme="minorHAnsi" w:cs="Tahoma"/>
          <w:b/>
          <w:sz w:val="24"/>
          <w:szCs w:val="24"/>
          <w:lang w:val="el-GR"/>
        </w:rPr>
        <w:t>/1</w:t>
      </w:r>
      <w:r w:rsidR="00E66ECD" w:rsidRPr="00C324D1">
        <w:rPr>
          <w:rFonts w:asciiTheme="minorHAnsi" w:hAnsiTheme="minorHAnsi" w:cs="Tahoma"/>
          <w:b/>
          <w:sz w:val="24"/>
          <w:szCs w:val="24"/>
          <w:lang w:val="el-GR"/>
        </w:rPr>
        <w:t>8</w:t>
      </w:r>
      <w:r w:rsidR="007117B5" w:rsidRPr="0020021A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4C154C">
        <w:rPr>
          <w:rFonts w:asciiTheme="minorHAnsi" w:hAnsiTheme="minorHAnsi" w:cs="Tahoma"/>
          <w:b/>
          <w:sz w:val="24"/>
          <w:szCs w:val="24"/>
          <w:lang w:val="en-US"/>
        </w:rPr>
        <w:t>AD</w:t>
      </w:r>
      <w:r w:rsidR="00080427">
        <w:rPr>
          <w:rFonts w:asciiTheme="minorHAnsi" w:hAnsiTheme="minorHAnsi" w:cs="Tahoma"/>
          <w:b/>
          <w:sz w:val="24"/>
          <w:szCs w:val="24"/>
          <w:lang w:val="el-GR"/>
        </w:rPr>
        <w:t>8</w:t>
      </w:r>
    </w:p>
    <w:p w:rsidR="00BD413C" w:rsidRPr="00E71752" w:rsidRDefault="00AC4CB8" w:rsidP="0043734A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color w:val="0000FF"/>
          <w:sz w:val="24"/>
          <w:szCs w:val="24"/>
          <w:u w:val="single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μπορούν να ανα</w:t>
      </w:r>
      <w:r w:rsidR="0020021A">
        <w:rPr>
          <w:rFonts w:asciiTheme="minorHAnsi" w:hAnsiTheme="minorHAnsi" w:cs="Tahoma"/>
          <w:sz w:val="24"/>
          <w:szCs w:val="24"/>
          <w:lang w:val="el-GR"/>
        </w:rPr>
        <w:t xml:space="preserve">ζητηθούν </w:t>
      </w:r>
      <w:r w:rsidR="005A6B32">
        <w:rPr>
          <w:rFonts w:asciiTheme="minorHAnsi" w:hAnsiTheme="minorHAnsi" w:cs="Tahoma"/>
          <w:sz w:val="24"/>
          <w:szCs w:val="24"/>
          <w:lang w:val="el-GR"/>
        </w:rPr>
        <w:t>στην ιστοσελίδα του Ευρωπαϊκού Γραφείου Επιλογής Προσωπικού (</w:t>
      </w:r>
      <w:r w:rsidR="005A6B32">
        <w:rPr>
          <w:rFonts w:asciiTheme="minorHAnsi" w:hAnsiTheme="minorHAnsi" w:cs="Tahoma"/>
          <w:sz w:val="24"/>
          <w:szCs w:val="24"/>
          <w:lang w:val="en-US"/>
        </w:rPr>
        <w:t>EPSO</w:t>
      </w:r>
      <w:r w:rsidR="00036370">
        <w:rPr>
          <w:rFonts w:asciiTheme="minorHAnsi" w:hAnsiTheme="minorHAnsi" w:cs="Tahoma"/>
          <w:sz w:val="24"/>
          <w:szCs w:val="24"/>
          <w:lang w:val="el-GR"/>
        </w:rPr>
        <w:t>)</w:t>
      </w:r>
      <w:r w:rsidR="005A6B32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19541D" w:rsidRPr="0050184E" w:rsidRDefault="00373E00" w:rsidP="00E95ACE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epso</w:t>
        </w:r>
        <w:proofErr w:type="spellEnd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opportunities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temporary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/3651-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com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ta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oib</w:t>
        </w:r>
        <w:proofErr w:type="spellEnd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-18-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ad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8_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el</w:t>
        </w:r>
      </w:hyperlink>
    </w:p>
    <w:p w:rsidR="00E95ACE" w:rsidRPr="00E71752" w:rsidRDefault="00E95ACE" w:rsidP="00E95ACE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87FBA" w:rsidRPr="0019541D" w:rsidRDefault="00036370" w:rsidP="00036370">
      <w:pPr>
        <w:pStyle w:val="21"/>
        <w:spacing w:after="0" w:line="360" w:lineRule="auto"/>
        <w:ind w:left="0" w:firstLine="0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r w:rsidRPr="00E7175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</w:t>
      </w:r>
      <w:r w:rsidR="00DF06E6">
        <w:rPr>
          <w:rFonts w:asciiTheme="minorHAnsi" w:hAnsiTheme="minorHAnsi" w:cs="Tahoma"/>
          <w:sz w:val="24"/>
          <w:szCs w:val="24"/>
          <w:lang w:val="el-GR"/>
        </w:rPr>
        <w:t xml:space="preserve"> πρέπει να </w:t>
      </w:r>
      <w:r w:rsidR="00265E38">
        <w:rPr>
          <w:rFonts w:asciiTheme="minorHAnsi" w:hAnsiTheme="minorHAnsi" w:cs="Tahoma"/>
          <w:sz w:val="24"/>
          <w:szCs w:val="24"/>
          <w:lang w:val="el-GR"/>
        </w:rPr>
        <w:t>υποβληθούν απευθείας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 μέχρι τις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4C44">
        <w:rPr>
          <w:rFonts w:asciiTheme="minorHAnsi" w:hAnsiTheme="minorHAnsi" w:cs="Tahoma"/>
          <w:b/>
          <w:sz w:val="24"/>
          <w:szCs w:val="24"/>
          <w:lang w:val="el-GR"/>
        </w:rPr>
        <w:t>28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394C44">
        <w:rPr>
          <w:rFonts w:asciiTheme="minorHAnsi" w:hAnsiTheme="minorHAnsi" w:cs="Tahoma"/>
          <w:b/>
          <w:sz w:val="24"/>
          <w:szCs w:val="24"/>
          <w:lang w:val="el-GR"/>
        </w:rPr>
        <w:t>Φεβρουαρίου</w:t>
      </w:r>
      <w:r w:rsidR="001719DE">
        <w:rPr>
          <w:rFonts w:asciiTheme="minorHAnsi" w:hAnsiTheme="minorHAnsi" w:cs="Tahoma"/>
          <w:b/>
          <w:sz w:val="24"/>
          <w:szCs w:val="24"/>
          <w:lang w:val="el-GR"/>
        </w:rPr>
        <w:t xml:space="preserve"> 201</w:t>
      </w:r>
      <w:r w:rsidR="00394C44">
        <w:rPr>
          <w:rFonts w:asciiTheme="minorHAnsi" w:hAnsiTheme="minorHAnsi" w:cs="Tahoma"/>
          <w:b/>
          <w:sz w:val="24"/>
          <w:szCs w:val="24"/>
          <w:lang w:val="el-GR"/>
        </w:rPr>
        <w:t>9</w:t>
      </w:r>
      <w:r w:rsidR="00F6371A" w:rsidRPr="00F6371A">
        <w:rPr>
          <w:rFonts w:asciiTheme="minorHAnsi" w:hAnsiTheme="minorHAnsi" w:cs="Tahoma"/>
          <w:b/>
          <w:sz w:val="24"/>
          <w:szCs w:val="24"/>
          <w:lang w:val="el-GR"/>
        </w:rPr>
        <w:t xml:space="preserve">, </w:t>
      </w:r>
      <w:r w:rsidR="001D2251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 </w:t>
      </w:r>
      <w:hyperlink r:id="rId14" w:history="1">
        <w:r w:rsidR="0019541D" w:rsidRPr="00C83820">
          <w:rPr>
            <w:rStyle w:val="-"/>
            <w:rFonts w:asciiTheme="minorHAnsi" w:hAnsiTheme="minorHAnsi" w:cs="Tahoma"/>
            <w:sz w:val="24"/>
            <w:szCs w:val="24"/>
          </w:rPr>
          <w:t>OIB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TA</w:t>
        </w:r>
        <w:r w:rsidR="0019541D" w:rsidRPr="0019541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SELECTION</w:t>
        </w:r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</w:t>
        </w:r>
        <w:proofErr w:type="spellEnd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9541D" w:rsidRPr="00C8382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19541D" w:rsidRPr="0019541D" w:rsidRDefault="0019541D" w:rsidP="0019541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el-GR" w:eastAsia="en-US"/>
        </w:rPr>
      </w:pPr>
    </w:p>
    <w:p w:rsidR="009613EF" w:rsidRPr="00A67336" w:rsidRDefault="00373E00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0E2905" w:rsidRPr="00550F6F" w:rsidRDefault="000E2905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0E2905" w:rsidRPr="00550F6F" w:rsidRDefault="000E2905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0E2905" w:rsidRPr="00550F6F" w:rsidRDefault="000E2905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0E2905" w:rsidRPr="00550F6F" w:rsidRDefault="000E2905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0E2905" w:rsidRPr="00550F6F" w:rsidRDefault="000E2905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0E2905" w:rsidRPr="00D31641" w:rsidRDefault="000E2905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0E2905" w:rsidRDefault="000E2905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0E2905" w:rsidRDefault="000E2905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0E2905" w:rsidRPr="00442F9D" w:rsidRDefault="000E2905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0E2905" w:rsidRDefault="000E2905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E8624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E8624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5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05" w:rsidRDefault="000E2905">
      <w:r>
        <w:separator/>
      </w:r>
    </w:p>
  </w:endnote>
  <w:endnote w:type="continuationSeparator" w:id="0">
    <w:p w:rsidR="000E2905" w:rsidRDefault="000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05" w:rsidRPr="002F5636" w:rsidRDefault="000E2905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373E00" w:rsidRPr="00373E00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0E2905" w:rsidRDefault="000E29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05" w:rsidRDefault="000E2905">
      <w:r>
        <w:separator/>
      </w:r>
    </w:p>
  </w:footnote>
  <w:footnote w:type="continuationSeparator" w:id="0">
    <w:p w:rsidR="000E2905" w:rsidRDefault="000E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7DF"/>
    <w:rsid w:val="00017AC4"/>
    <w:rsid w:val="0002413C"/>
    <w:rsid w:val="00025936"/>
    <w:rsid w:val="00036370"/>
    <w:rsid w:val="00045395"/>
    <w:rsid w:val="00073821"/>
    <w:rsid w:val="00080427"/>
    <w:rsid w:val="00090597"/>
    <w:rsid w:val="00090E64"/>
    <w:rsid w:val="000954F8"/>
    <w:rsid w:val="000A6E37"/>
    <w:rsid w:val="000B7928"/>
    <w:rsid w:val="000C2016"/>
    <w:rsid w:val="000D479F"/>
    <w:rsid w:val="000D4B1C"/>
    <w:rsid w:val="000E2905"/>
    <w:rsid w:val="000E4290"/>
    <w:rsid w:val="00102C86"/>
    <w:rsid w:val="0010515E"/>
    <w:rsid w:val="00112D27"/>
    <w:rsid w:val="00117470"/>
    <w:rsid w:val="00126F03"/>
    <w:rsid w:val="0013549B"/>
    <w:rsid w:val="00145BD6"/>
    <w:rsid w:val="00151A41"/>
    <w:rsid w:val="001636CD"/>
    <w:rsid w:val="00164E18"/>
    <w:rsid w:val="00166DCF"/>
    <w:rsid w:val="001719DE"/>
    <w:rsid w:val="00171CA5"/>
    <w:rsid w:val="00175CAA"/>
    <w:rsid w:val="001911E5"/>
    <w:rsid w:val="00193B1E"/>
    <w:rsid w:val="0019541D"/>
    <w:rsid w:val="00197B7B"/>
    <w:rsid w:val="001A1F58"/>
    <w:rsid w:val="001A21CC"/>
    <w:rsid w:val="001B03F5"/>
    <w:rsid w:val="001B5C02"/>
    <w:rsid w:val="001C2F51"/>
    <w:rsid w:val="001C4C55"/>
    <w:rsid w:val="001D2251"/>
    <w:rsid w:val="001D6864"/>
    <w:rsid w:val="001E41B4"/>
    <w:rsid w:val="001E458D"/>
    <w:rsid w:val="0020021A"/>
    <w:rsid w:val="002124BE"/>
    <w:rsid w:val="00216AA1"/>
    <w:rsid w:val="002233A6"/>
    <w:rsid w:val="002254EE"/>
    <w:rsid w:val="002310CC"/>
    <w:rsid w:val="00244A92"/>
    <w:rsid w:val="00254AF0"/>
    <w:rsid w:val="00262759"/>
    <w:rsid w:val="00265E38"/>
    <w:rsid w:val="002665E8"/>
    <w:rsid w:val="00267A82"/>
    <w:rsid w:val="00274A62"/>
    <w:rsid w:val="00280642"/>
    <w:rsid w:val="002810B8"/>
    <w:rsid w:val="002B472C"/>
    <w:rsid w:val="002C61B6"/>
    <w:rsid w:val="002E7FB4"/>
    <w:rsid w:val="002F5636"/>
    <w:rsid w:val="003019BB"/>
    <w:rsid w:val="003033D3"/>
    <w:rsid w:val="003211CA"/>
    <w:rsid w:val="003234C9"/>
    <w:rsid w:val="003305DD"/>
    <w:rsid w:val="00344563"/>
    <w:rsid w:val="0035754E"/>
    <w:rsid w:val="00363458"/>
    <w:rsid w:val="00373E00"/>
    <w:rsid w:val="00375006"/>
    <w:rsid w:val="00383DFF"/>
    <w:rsid w:val="0038536F"/>
    <w:rsid w:val="00392099"/>
    <w:rsid w:val="003939FD"/>
    <w:rsid w:val="00394C44"/>
    <w:rsid w:val="003B1EF7"/>
    <w:rsid w:val="003C1132"/>
    <w:rsid w:val="003D1899"/>
    <w:rsid w:val="003D640C"/>
    <w:rsid w:val="003F05CF"/>
    <w:rsid w:val="004068CA"/>
    <w:rsid w:val="00432378"/>
    <w:rsid w:val="0043734A"/>
    <w:rsid w:val="00442F9D"/>
    <w:rsid w:val="00446DE7"/>
    <w:rsid w:val="0046688D"/>
    <w:rsid w:val="00482377"/>
    <w:rsid w:val="0048383F"/>
    <w:rsid w:val="004A67F7"/>
    <w:rsid w:val="004C154C"/>
    <w:rsid w:val="004D3FBF"/>
    <w:rsid w:val="004E3831"/>
    <w:rsid w:val="004F0CC7"/>
    <w:rsid w:val="004F4A49"/>
    <w:rsid w:val="0050184E"/>
    <w:rsid w:val="0050690F"/>
    <w:rsid w:val="00512C4B"/>
    <w:rsid w:val="005163EB"/>
    <w:rsid w:val="00534E24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A6B32"/>
    <w:rsid w:val="005C5E0B"/>
    <w:rsid w:val="005D3154"/>
    <w:rsid w:val="005F7EB9"/>
    <w:rsid w:val="00606AF0"/>
    <w:rsid w:val="006131F7"/>
    <w:rsid w:val="00620D2C"/>
    <w:rsid w:val="006257C1"/>
    <w:rsid w:val="00636D49"/>
    <w:rsid w:val="00662457"/>
    <w:rsid w:val="00662D80"/>
    <w:rsid w:val="00663204"/>
    <w:rsid w:val="00663B4C"/>
    <w:rsid w:val="006649C7"/>
    <w:rsid w:val="00666949"/>
    <w:rsid w:val="00675198"/>
    <w:rsid w:val="00680CA7"/>
    <w:rsid w:val="006A7AD6"/>
    <w:rsid w:val="006B77E9"/>
    <w:rsid w:val="006F54AB"/>
    <w:rsid w:val="00704A7A"/>
    <w:rsid w:val="007117B5"/>
    <w:rsid w:val="007133F9"/>
    <w:rsid w:val="00727E37"/>
    <w:rsid w:val="0073703E"/>
    <w:rsid w:val="00740CB5"/>
    <w:rsid w:val="0075007A"/>
    <w:rsid w:val="007612B6"/>
    <w:rsid w:val="007644E3"/>
    <w:rsid w:val="00781914"/>
    <w:rsid w:val="00784790"/>
    <w:rsid w:val="00790E58"/>
    <w:rsid w:val="00797628"/>
    <w:rsid w:val="007A320E"/>
    <w:rsid w:val="007A38CC"/>
    <w:rsid w:val="007A67F1"/>
    <w:rsid w:val="007A72B9"/>
    <w:rsid w:val="007B0D80"/>
    <w:rsid w:val="007B28A7"/>
    <w:rsid w:val="007B7414"/>
    <w:rsid w:val="007B7471"/>
    <w:rsid w:val="007B7679"/>
    <w:rsid w:val="007C0825"/>
    <w:rsid w:val="007D1FDC"/>
    <w:rsid w:val="007E3E45"/>
    <w:rsid w:val="007F2EF4"/>
    <w:rsid w:val="00801721"/>
    <w:rsid w:val="00812B8E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7622F"/>
    <w:rsid w:val="008B0D31"/>
    <w:rsid w:val="008B185A"/>
    <w:rsid w:val="008B4D07"/>
    <w:rsid w:val="008C3A12"/>
    <w:rsid w:val="008C5AA3"/>
    <w:rsid w:val="008C7C65"/>
    <w:rsid w:val="008D7596"/>
    <w:rsid w:val="008E770A"/>
    <w:rsid w:val="008F0986"/>
    <w:rsid w:val="008F1E4C"/>
    <w:rsid w:val="009000B7"/>
    <w:rsid w:val="00901B73"/>
    <w:rsid w:val="009047AF"/>
    <w:rsid w:val="009056B3"/>
    <w:rsid w:val="00907675"/>
    <w:rsid w:val="00925FCB"/>
    <w:rsid w:val="00926AC6"/>
    <w:rsid w:val="00957839"/>
    <w:rsid w:val="009613EF"/>
    <w:rsid w:val="00965EA3"/>
    <w:rsid w:val="0097013C"/>
    <w:rsid w:val="009725D3"/>
    <w:rsid w:val="0097490F"/>
    <w:rsid w:val="00974A87"/>
    <w:rsid w:val="00984289"/>
    <w:rsid w:val="00984775"/>
    <w:rsid w:val="009A0D02"/>
    <w:rsid w:val="009A77B6"/>
    <w:rsid w:val="009B5D49"/>
    <w:rsid w:val="009C44DA"/>
    <w:rsid w:val="009D5B0D"/>
    <w:rsid w:val="009D7663"/>
    <w:rsid w:val="009E3008"/>
    <w:rsid w:val="009E57CD"/>
    <w:rsid w:val="00A01777"/>
    <w:rsid w:val="00A03337"/>
    <w:rsid w:val="00A04474"/>
    <w:rsid w:val="00A1042D"/>
    <w:rsid w:val="00A16826"/>
    <w:rsid w:val="00A44586"/>
    <w:rsid w:val="00A57483"/>
    <w:rsid w:val="00A64363"/>
    <w:rsid w:val="00A81E97"/>
    <w:rsid w:val="00A81E9F"/>
    <w:rsid w:val="00A87FBA"/>
    <w:rsid w:val="00A92400"/>
    <w:rsid w:val="00A963FE"/>
    <w:rsid w:val="00AB65B4"/>
    <w:rsid w:val="00AC4CB8"/>
    <w:rsid w:val="00AD2872"/>
    <w:rsid w:val="00AD459C"/>
    <w:rsid w:val="00AE1D5A"/>
    <w:rsid w:val="00AE52A2"/>
    <w:rsid w:val="00AF4267"/>
    <w:rsid w:val="00B00BB4"/>
    <w:rsid w:val="00B14FCC"/>
    <w:rsid w:val="00B3212B"/>
    <w:rsid w:val="00B3545E"/>
    <w:rsid w:val="00B42D0F"/>
    <w:rsid w:val="00B45ACB"/>
    <w:rsid w:val="00B618E7"/>
    <w:rsid w:val="00B718CA"/>
    <w:rsid w:val="00B86664"/>
    <w:rsid w:val="00BB2591"/>
    <w:rsid w:val="00BB2C16"/>
    <w:rsid w:val="00BB4889"/>
    <w:rsid w:val="00BC2718"/>
    <w:rsid w:val="00BD413C"/>
    <w:rsid w:val="00BD6585"/>
    <w:rsid w:val="00BE30F3"/>
    <w:rsid w:val="00BE7819"/>
    <w:rsid w:val="00BE7FB8"/>
    <w:rsid w:val="00BF2E50"/>
    <w:rsid w:val="00BF73D2"/>
    <w:rsid w:val="00C000AD"/>
    <w:rsid w:val="00C00734"/>
    <w:rsid w:val="00C239EB"/>
    <w:rsid w:val="00C2486F"/>
    <w:rsid w:val="00C324D1"/>
    <w:rsid w:val="00C47E6F"/>
    <w:rsid w:val="00C56ACF"/>
    <w:rsid w:val="00C603D4"/>
    <w:rsid w:val="00C64B56"/>
    <w:rsid w:val="00C75A3E"/>
    <w:rsid w:val="00C86597"/>
    <w:rsid w:val="00C86BDF"/>
    <w:rsid w:val="00C9681B"/>
    <w:rsid w:val="00CC138E"/>
    <w:rsid w:val="00CC4D2B"/>
    <w:rsid w:val="00CD1236"/>
    <w:rsid w:val="00CD1BFE"/>
    <w:rsid w:val="00CD4A01"/>
    <w:rsid w:val="00CD5383"/>
    <w:rsid w:val="00CD6E06"/>
    <w:rsid w:val="00CF158A"/>
    <w:rsid w:val="00CF54A1"/>
    <w:rsid w:val="00CF574D"/>
    <w:rsid w:val="00D1313E"/>
    <w:rsid w:val="00D17477"/>
    <w:rsid w:val="00D25144"/>
    <w:rsid w:val="00D25DCC"/>
    <w:rsid w:val="00D560B0"/>
    <w:rsid w:val="00D6213D"/>
    <w:rsid w:val="00D62C1B"/>
    <w:rsid w:val="00D63257"/>
    <w:rsid w:val="00D64B16"/>
    <w:rsid w:val="00D66C11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F06E6"/>
    <w:rsid w:val="00E2448C"/>
    <w:rsid w:val="00E31975"/>
    <w:rsid w:val="00E66ECD"/>
    <w:rsid w:val="00E71752"/>
    <w:rsid w:val="00E73CA3"/>
    <w:rsid w:val="00E80CE6"/>
    <w:rsid w:val="00E84A76"/>
    <w:rsid w:val="00E859D5"/>
    <w:rsid w:val="00E86244"/>
    <w:rsid w:val="00E92A68"/>
    <w:rsid w:val="00E95ACE"/>
    <w:rsid w:val="00EA1055"/>
    <w:rsid w:val="00EB13CA"/>
    <w:rsid w:val="00EB5F97"/>
    <w:rsid w:val="00EC7972"/>
    <w:rsid w:val="00ED57B3"/>
    <w:rsid w:val="00ED770E"/>
    <w:rsid w:val="00EF0058"/>
    <w:rsid w:val="00EF2310"/>
    <w:rsid w:val="00EF2B1D"/>
    <w:rsid w:val="00F04728"/>
    <w:rsid w:val="00F103A0"/>
    <w:rsid w:val="00F20E2F"/>
    <w:rsid w:val="00F2111A"/>
    <w:rsid w:val="00F259C1"/>
    <w:rsid w:val="00F25AF6"/>
    <w:rsid w:val="00F3016C"/>
    <w:rsid w:val="00F369F2"/>
    <w:rsid w:val="00F447AB"/>
    <w:rsid w:val="00F46620"/>
    <w:rsid w:val="00F5496E"/>
    <w:rsid w:val="00F60491"/>
    <w:rsid w:val="00F62895"/>
    <w:rsid w:val="00F6371A"/>
    <w:rsid w:val="00F649F8"/>
    <w:rsid w:val="00F6741A"/>
    <w:rsid w:val="00F674EC"/>
    <w:rsid w:val="00F7326D"/>
    <w:rsid w:val="00F75F8A"/>
    <w:rsid w:val="00F92C04"/>
    <w:rsid w:val="00F972FF"/>
    <w:rsid w:val="00FA3B45"/>
    <w:rsid w:val="00FA4041"/>
    <w:rsid w:val="00FB44D7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  <w:style w:type="paragraph" w:customStyle="1" w:styleId="Default">
    <w:name w:val="Default"/>
    <w:rsid w:val="00394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so.europa.eu/job-opportunities/temporary/3651-com-ta-oib-18-ad8_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IB-TA-SELECTION@ec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47FE-625E-44C1-B48D-EE56E068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93</cp:revision>
  <cp:lastPrinted>2019-02-15T12:09:00Z</cp:lastPrinted>
  <dcterms:created xsi:type="dcterms:W3CDTF">2016-01-12T05:53:00Z</dcterms:created>
  <dcterms:modified xsi:type="dcterms:W3CDTF">2019-02-19T10:42:00Z</dcterms:modified>
</cp:coreProperties>
</file>