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Pr="00187292" w:rsidRDefault="0063435B" w:rsidP="00187292">
      <w:pPr>
        <w:rPr>
          <w:rFonts w:asciiTheme="minorHAnsi" w:hAnsiTheme="minorHAnsi" w:cs="Tahoma"/>
          <w:color w:val="0000FF"/>
          <w:sz w:val="24"/>
          <w:szCs w:val="24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34110D" w:rsidRPr="0074764F" w:rsidRDefault="0034110D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63435B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97466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63435B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53748" w:rsidRDefault="00C5374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C5374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187292">
              <w:fldChar w:fldCharType="begin"/>
            </w:r>
            <w:r w:rsidR="00187292" w:rsidRPr="00187292">
              <w:rPr>
                <w:lang w:val="fr-FR"/>
              </w:rPr>
              <w:instrText xml:space="preserve"> HYPERLINK "mailto:p.karageorgi@ydmed.gov.gr" </w:instrText>
            </w:r>
            <w:r w:rsidR="00187292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187292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97466B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3435B">
              <w:rPr>
                <w:rFonts w:asciiTheme="minorHAnsi" w:hAnsiTheme="minorHAnsi" w:cs="Tahoma"/>
                <w:sz w:val="22"/>
                <w:szCs w:val="22"/>
                <w:lang w:val="en-US"/>
              </w:rPr>
              <w:t>11</w:t>
            </w:r>
            <w:bookmarkStart w:id="0" w:name="_GoBack"/>
            <w:bookmarkEnd w:id="0"/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C53748">
              <w:rPr>
                <w:rFonts w:asciiTheme="minorHAnsi" w:hAnsiTheme="minorHAnsi" w:cs="Tahoma"/>
                <w:sz w:val="22"/>
                <w:szCs w:val="22"/>
                <w:lang w:val="el-GR"/>
              </w:rPr>
              <w:t>Οκτωβρίου</w:t>
            </w:r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97466B" w:rsidRP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9A5606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665B8A" w:rsidRPr="00FE0C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E2210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C5374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32876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FE0C36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665B8A" w:rsidRPr="00FE0C36" w:rsidRDefault="00665B8A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665B8A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Μ</w:t>
            </w:r>
            <w:r w:rsidR="00665B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όνιμη Ελληνική Αντιπροσωπεία στο Συμβούλιο της Ευρώπης </w:t>
            </w:r>
          </w:p>
          <w:p w:rsidR="00AC5F8D" w:rsidRPr="00C177C7" w:rsidRDefault="00C177C7" w:rsidP="00C177C7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Avenue de </w:t>
            </w:r>
            <w:r>
              <w:rPr>
                <w:rFonts w:asciiTheme="minorHAnsi" w:hAnsiTheme="minorHAnsi" w:cs="Tahoma"/>
                <w:sz w:val="22"/>
                <w:szCs w:val="22"/>
                <w:lang w:val="fr-FR"/>
              </w:rPr>
              <w:t>l’</w:t>
            </w: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Europe</w:t>
            </w:r>
          </w:p>
          <w:p w:rsidR="00C177C7" w:rsidRPr="00C177C7" w:rsidRDefault="00C177C7" w:rsidP="00C177C7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>F-67075 Strasbourg</w:t>
            </w:r>
          </w:p>
        </w:tc>
      </w:tr>
    </w:tbl>
    <w:p w:rsidR="0074764F" w:rsidRPr="00C177C7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fr-F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97466B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1742">
        <w:rPr>
          <w:rFonts w:asciiTheme="minorHAnsi" w:hAnsiTheme="minorHAnsi" w:cs="Tahoma"/>
          <w:b/>
          <w:bCs/>
          <w:sz w:val="24"/>
          <w:szCs w:val="24"/>
          <w:lang w:val="el-GR"/>
        </w:rPr>
        <w:t>για απόσπαση</w:t>
      </w:r>
      <w:r w:rsidR="00665B8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Συμβούλιο της Ευρώπης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B25CB2" w:rsidRDefault="00B31EAA" w:rsidP="006733F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proofErr w:type="spellStart"/>
      <w:r w:rsidR="00F54B50">
        <w:rPr>
          <w:rFonts w:asciiTheme="minorHAnsi" w:hAnsiTheme="minorHAnsi" w:cs="Tahoma"/>
          <w:sz w:val="24"/>
          <w:szCs w:val="24"/>
          <w:lang w:val="el-GR"/>
        </w:rPr>
        <w:t>υπ΄αριθμ</w:t>
      </w:r>
      <w:proofErr w:type="spellEnd"/>
      <w:r w:rsidR="00F54B50">
        <w:rPr>
          <w:rFonts w:asciiTheme="minorHAnsi" w:hAnsiTheme="minorHAnsi" w:cs="Tahoma"/>
          <w:sz w:val="24"/>
          <w:szCs w:val="24"/>
          <w:lang w:val="el-GR"/>
        </w:rPr>
        <w:t>. Φ.6602/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ΑΣ </w:t>
      </w:r>
      <w:r w:rsidR="0034110D">
        <w:rPr>
          <w:rFonts w:asciiTheme="minorHAnsi" w:hAnsiTheme="minorHAnsi" w:cs="Tahoma"/>
          <w:sz w:val="24"/>
          <w:szCs w:val="24"/>
          <w:lang w:val="el-GR"/>
        </w:rPr>
        <w:t>899</w:t>
      </w:r>
      <w:r w:rsidR="00725807">
        <w:rPr>
          <w:rFonts w:asciiTheme="minorHAnsi" w:hAnsiTheme="minorHAnsi" w:cs="Tahoma"/>
          <w:sz w:val="24"/>
          <w:szCs w:val="24"/>
          <w:lang w:val="el-GR"/>
        </w:rPr>
        <w:t>/</w:t>
      </w:r>
      <w:r w:rsidR="0034110D">
        <w:rPr>
          <w:rFonts w:asciiTheme="minorHAnsi" w:hAnsiTheme="minorHAnsi" w:cs="Tahoma"/>
          <w:sz w:val="24"/>
          <w:szCs w:val="24"/>
          <w:lang w:val="el-GR"/>
        </w:rPr>
        <w:t>04</w:t>
      </w:r>
      <w:r w:rsidR="00725807">
        <w:rPr>
          <w:rFonts w:asciiTheme="minorHAnsi" w:hAnsiTheme="minorHAnsi" w:cs="Tahoma"/>
          <w:sz w:val="24"/>
          <w:szCs w:val="24"/>
          <w:lang w:val="el-GR"/>
        </w:rPr>
        <w:t>-</w:t>
      </w:r>
      <w:r w:rsidR="0034110D">
        <w:rPr>
          <w:rFonts w:asciiTheme="minorHAnsi" w:hAnsiTheme="minorHAnsi" w:cs="Tahoma"/>
          <w:sz w:val="24"/>
          <w:szCs w:val="24"/>
          <w:lang w:val="el-GR"/>
        </w:rPr>
        <w:t>10</w:t>
      </w:r>
      <w:r w:rsidR="0097466B">
        <w:rPr>
          <w:rFonts w:asciiTheme="minorHAnsi" w:hAnsiTheme="minorHAnsi" w:cs="Tahoma"/>
          <w:sz w:val="24"/>
          <w:szCs w:val="24"/>
          <w:lang w:val="el-GR"/>
        </w:rPr>
        <w:t>-2017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στο Συμβούλιο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της Ευρώπης</w:t>
      </w:r>
      <w:r w:rsidR="007964E4" w:rsidRPr="007964E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4E4">
        <w:rPr>
          <w:rFonts w:asciiTheme="minorHAnsi" w:hAnsiTheme="minorHAnsi" w:cs="Tahoma"/>
          <w:sz w:val="24"/>
          <w:szCs w:val="24"/>
          <w:lang w:val="el-GR"/>
        </w:rPr>
        <w:t>στο Στρασβούργο</w:t>
      </w:r>
      <w:r w:rsidR="00B25C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44C15">
        <w:rPr>
          <w:rFonts w:asciiTheme="minorHAnsi" w:hAnsiTheme="minorHAnsi" w:cs="Tahoma"/>
          <w:sz w:val="24"/>
          <w:szCs w:val="24"/>
          <w:lang w:val="el-GR"/>
        </w:rPr>
        <w:t xml:space="preserve"> γνωστοποιείται</w:t>
      </w:r>
      <w:r w:rsidR="004E459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309E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32CB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531742">
        <w:rPr>
          <w:rFonts w:asciiTheme="minorHAnsi" w:hAnsiTheme="minorHAnsi" w:cs="Tahoma"/>
          <w:sz w:val="24"/>
          <w:szCs w:val="24"/>
          <w:lang w:val="el-GR"/>
        </w:rPr>
        <w:t xml:space="preserve"> για απόσπαση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διάρκειας ενός </w:t>
      </w:r>
      <w:r w:rsidR="0034110D">
        <w:rPr>
          <w:rFonts w:asciiTheme="minorHAnsi" w:hAnsiTheme="minorHAnsi" w:cs="Tahoma"/>
          <w:sz w:val="24"/>
          <w:szCs w:val="24"/>
          <w:lang w:val="el-GR"/>
        </w:rPr>
        <w:t xml:space="preserve">τουλάχιστον </w:t>
      </w:r>
      <w:r w:rsidR="0000319E">
        <w:rPr>
          <w:rFonts w:asciiTheme="minorHAnsi" w:hAnsiTheme="minorHAnsi" w:cs="Tahoma"/>
          <w:sz w:val="24"/>
          <w:szCs w:val="24"/>
          <w:lang w:val="el-GR"/>
        </w:rPr>
        <w:t>έτους,</w:t>
      </w:r>
      <w:r w:rsidR="0097466B">
        <w:rPr>
          <w:rFonts w:asciiTheme="minorHAnsi" w:hAnsiTheme="minorHAnsi" w:cs="Tahoma"/>
          <w:sz w:val="24"/>
          <w:szCs w:val="24"/>
          <w:lang w:val="el-GR"/>
        </w:rPr>
        <w:t xml:space="preserve"> ενός υπαλλήλου με αρμοδιότητες</w:t>
      </w:r>
      <w:r w:rsidR="000661DC" w:rsidRPr="000661D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Υπεύθυνου </w:t>
      </w:r>
      <w:r w:rsidR="0034110D">
        <w:rPr>
          <w:rFonts w:asciiTheme="minorHAnsi" w:hAnsiTheme="minorHAnsi" w:cs="Tahoma"/>
          <w:sz w:val="24"/>
          <w:szCs w:val="24"/>
          <w:lang w:val="el-GR"/>
        </w:rPr>
        <w:t>Διοίκησης στην Επιτροπή Εμπειρογνωμόνων του Ευρωπαϊκού Χάρτη για Περιφ</w:t>
      </w:r>
      <w:r w:rsidR="006733F3">
        <w:rPr>
          <w:rFonts w:asciiTheme="minorHAnsi" w:hAnsiTheme="minorHAnsi" w:cs="Tahoma"/>
          <w:sz w:val="24"/>
          <w:szCs w:val="24"/>
          <w:lang w:val="el-GR"/>
        </w:rPr>
        <w:t xml:space="preserve">ερειακές ή Μειονοτικές Γλώσσες 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στη Γενική Διεύθυνση </w:t>
      </w:r>
      <w:r w:rsidR="006733F3">
        <w:rPr>
          <w:rFonts w:asciiTheme="minorHAnsi" w:hAnsiTheme="minorHAnsi" w:cs="Tahoma"/>
          <w:sz w:val="24"/>
          <w:szCs w:val="24"/>
          <w:lang w:val="el-GR"/>
        </w:rPr>
        <w:t xml:space="preserve">Δημοκρατίας 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του ανωτέρω Οργανισμού με στοιχεία:</w:t>
      </w:r>
    </w:p>
    <w:p w:rsidR="005E319A" w:rsidRPr="00016878" w:rsidRDefault="00B25CB2" w:rsidP="004A575D">
      <w:pPr>
        <w:pStyle w:val="20"/>
        <w:spacing w:after="0" w:line="360" w:lineRule="auto"/>
        <w:ind w:left="0" w:firstLine="709"/>
        <w:jc w:val="center"/>
        <w:rPr>
          <w:rFonts w:asciiTheme="minorHAnsi" w:hAnsiTheme="minorHAnsi" w:cs="Tahoma"/>
          <w:sz w:val="24"/>
          <w:szCs w:val="24"/>
          <w:lang w:val="el-GR"/>
        </w:rPr>
      </w:pPr>
      <w:r w:rsidRPr="00B25CB2">
        <w:rPr>
          <w:rFonts w:asciiTheme="minorHAnsi" w:hAnsiTheme="minorHAnsi" w:cs="Tahoma"/>
          <w:b/>
          <w:sz w:val="24"/>
          <w:szCs w:val="24"/>
          <w:lang w:val="en-US"/>
        </w:rPr>
        <w:t>Ref</w:t>
      </w:r>
      <w:r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. </w:t>
      </w:r>
      <w:proofErr w:type="spellStart"/>
      <w:r w:rsidRPr="00B25CB2">
        <w:rPr>
          <w:rFonts w:asciiTheme="minorHAnsi" w:hAnsiTheme="minorHAnsi" w:cs="Tahoma"/>
          <w:b/>
          <w:sz w:val="24"/>
          <w:szCs w:val="24"/>
          <w:lang w:val="el-GR"/>
        </w:rPr>
        <w:t>Νο</w:t>
      </w:r>
      <w:proofErr w:type="spellEnd"/>
      <w:r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Pr="00B25CB2">
        <w:rPr>
          <w:rFonts w:asciiTheme="minorHAnsi" w:hAnsiTheme="minorHAnsi" w:cs="Tahoma"/>
          <w:b/>
          <w:sz w:val="24"/>
          <w:szCs w:val="24"/>
          <w:lang w:val="en-US"/>
        </w:rPr>
        <w:t>S</w:t>
      </w:r>
      <w:r w:rsidR="00F857F7">
        <w:rPr>
          <w:rFonts w:asciiTheme="minorHAnsi" w:hAnsiTheme="minorHAnsi" w:cs="Tahoma"/>
          <w:b/>
          <w:sz w:val="24"/>
          <w:szCs w:val="24"/>
          <w:lang w:val="el-GR"/>
        </w:rPr>
        <w:t>6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/2017</w:t>
      </w:r>
    </w:p>
    <w:p w:rsidR="00286BFE" w:rsidRDefault="00187292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Επισημαίνεται ότι</w:t>
      </w:r>
      <w:r w:rsidRPr="0018729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86BFE">
        <w:rPr>
          <w:rFonts w:asciiTheme="minorHAnsi" w:hAnsiTheme="minorHAnsi" w:cs="Tahoma"/>
          <w:sz w:val="24"/>
          <w:szCs w:val="24"/>
          <w:lang w:val="el-GR"/>
        </w:rPr>
        <w:t>τυχόν αποσπασμένος υπάλληλος θα πρέπει κατά τη διάρκεια της απόσπασης να μισθοδοτείται από την υπηρεσία από την οποία προέρχεται, ή τουλάχιστον, να εξακολουθεί να διατηρεί σχέση εργασίας με αυτήν. Το Συμβούλιο της Ευρώπης δεν χορηγεί μισθ</w:t>
      </w:r>
      <w:r w:rsidR="009A5606">
        <w:rPr>
          <w:rFonts w:asciiTheme="minorHAnsi" w:hAnsiTheme="minorHAnsi" w:cs="Tahoma"/>
          <w:sz w:val="24"/>
          <w:szCs w:val="24"/>
          <w:lang w:val="el-GR"/>
        </w:rPr>
        <w:t>ό</w:t>
      </w:r>
      <w:r w:rsidR="009A5606" w:rsidRPr="009A560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606">
        <w:rPr>
          <w:rFonts w:asciiTheme="minorHAnsi" w:hAnsiTheme="minorHAnsi" w:cs="Tahoma"/>
          <w:sz w:val="24"/>
          <w:szCs w:val="24"/>
          <w:lang w:val="el-GR"/>
        </w:rPr>
        <w:t xml:space="preserve">και δεν 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καταβάλλει επίδομα μετάθεσης και έξοδα μετακίνησης. </w:t>
      </w:r>
      <w:r w:rsidR="00286BFE">
        <w:rPr>
          <w:rFonts w:asciiTheme="minorHAnsi" w:hAnsiTheme="minorHAnsi" w:cs="Tahoma"/>
          <w:sz w:val="24"/>
          <w:szCs w:val="24"/>
          <w:lang w:val="el-GR"/>
        </w:rPr>
        <w:lastRenderedPageBreak/>
        <w:t>Σημειώνεται, επίσης, ότι για να υποβάλλουν αίτηση οι ενδιαφερόμενοι, θα πρέπει να έχουν εξασφαλίσει τη ρητή έγκριση της υπηρεσίας τους.</w:t>
      </w:r>
    </w:p>
    <w:p w:rsidR="00286BFE" w:rsidRPr="00317931" w:rsidRDefault="00286BFE" w:rsidP="00286BFE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την ανωτέρω προκήρυξη μπορούν να αναζητηθούν στον ακόλουθο σύνδεσμο: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</w:p>
    <w:p w:rsidR="00286BFE" w:rsidRDefault="00286BFE" w:rsidP="00286BFE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17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0" w:history="1"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coe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secondments</w:t>
        </w:r>
        <w:proofErr w:type="spellEnd"/>
      </w:hyperlink>
    </w:p>
    <w:p w:rsidR="00F0670A" w:rsidRDefault="00286BF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Γνωστοποιείται ότι 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η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 στις </w:t>
      </w:r>
      <w:r w:rsidR="005E65FB">
        <w:rPr>
          <w:rFonts w:asciiTheme="minorHAnsi" w:hAnsiTheme="minorHAnsi" w:cs="Tahoma"/>
          <w:b/>
          <w:sz w:val="24"/>
          <w:szCs w:val="24"/>
          <w:lang w:val="el-GR"/>
        </w:rPr>
        <w:t>25</w:t>
      </w:r>
      <w:r w:rsidR="00A00097" w:rsidRPr="00286BFE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5E65FB">
        <w:rPr>
          <w:rFonts w:asciiTheme="minorHAnsi" w:hAnsiTheme="minorHAnsi" w:cs="Tahoma"/>
          <w:b/>
          <w:sz w:val="24"/>
          <w:szCs w:val="24"/>
          <w:lang w:val="el-GR"/>
        </w:rPr>
        <w:t>Οκτωβρίου</w:t>
      </w:r>
      <w:r w:rsidR="00866780">
        <w:rPr>
          <w:rFonts w:asciiTheme="minorHAnsi" w:hAnsiTheme="minorHAnsi" w:cs="Tahoma"/>
          <w:b/>
          <w:sz w:val="24"/>
          <w:szCs w:val="24"/>
          <w:lang w:val="el-GR"/>
        </w:rPr>
        <w:t xml:space="preserve">  2017</w:t>
      </w:r>
      <w:r w:rsidR="00F0670A" w:rsidRPr="00286BFE">
        <w:rPr>
          <w:rFonts w:asciiTheme="minorHAnsi" w:hAnsiTheme="minorHAnsi" w:cs="Tahoma"/>
          <w:b/>
          <w:sz w:val="24"/>
          <w:szCs w:val="24"/>
          <w:lang w:val="el-GR"/>
        </w:rPr>
        <w:t>.</w:t>
      </w:r>
    </w:p>
    <w:p w:rsidR="00283E5E" w:rsidRDefault="00283E5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66780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866780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F7368">
      <w:footerReference w:type="default" r:id="rId11"/>
      <w:pgSz w:w="11906" w:h="16838"/>
      <w:pgMar w:top="1418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0D" w:rsidRDefault="0034110D">
      <w:r>
        <w:separator/>
      </w:r>
    </w:p>
  </w:endnote>
  <w:endnote w:type="continuationSeparator" w:id="0">
    <w:p w:rsidR="0034110D" w:rsidRDefault="0034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0D" w:rsidRDefault="0034110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3435B" w:rsidRPr="0063435B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34110D" w:rsidRDefault="003411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0D" w:rsidRDefault="0034110D">
      <w:r>
        <w:separator/>
      </w:r>
    </w:p>
  </w:footnote>
  <w:footnote w:type="continuationSeparator" w:id="0">
    <w:p w:rsidR="0034110D" w:rsidRDefault="0034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319E"/>
    <w:rsid w:val="00013446"/>
    <w:rsid w:val="00016878"/>
    <w:rsid w:val="00017E2C"/>
    <w:rsid w:val="000216D5"/>
    <w:rsid w:val="0002413C"/>
    <w:rsid w:val="00054B78"/>
    <w:rsid w:val="000661DC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097E"/>
    <w:rsid w:val="00101071"/>
    <w:rsid w:val="00104AC9"/>
    <w:rsid w:val="00120662"/>
    <w:rsid w:val="00127208"/>
    <w:rsid w:val="001663A0"/>
    <w:rsid w:val="00171CA5"/>
    <w:rsid w:val="00187292"/>
    <w:rsid w:val="001903CF"/>
    <w:rsid w:val="001B0187"/>
    <w:rsid w:val="001C5035"/>
    <w:rsid w:val="001C57C3"/>
    <w:rsid w:val="001D6864"/>
    <w:rsid w:val="001F0BD7"/>
    <w:rsid w:val="001F1982"/>
    <w:rsid w:val="00210E26"/>
    <w:rsid w:val="00217DF6"/>
    <w:rsid w:val="00227CB6"/>
    <w:rsid w:val="00232261"/>
    <w:rsid w:val="00235836"/>
    <w:rsid w:val="00277244"/>
    <w:rsid w:val="00280642"/>
    <w:rsid w:val="00283E5E"/>
    <w:rsid w:val="00286BFE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17931"/>
    <w:rsid w:val="00330AB4"/>
    <w:rsid w:val="00331F89"/>
    <w:rsid w:val="00337EC1"/>
    <w:rsid w:val="0034110D"/>
    <w:rsid w:val="0035232C"/>
    <w:rsid w:val="00356653"/>
    <w:rsid w:val="0035754E"/>
    <w:rsid w:val="00357C54"/>
    <w:rsid w:val="00386B23"/>
    <w:rsid w:val="003A4940"/>
    <w:rsid w:val="003B1F66"/>
    <w:rsid w:val="003B6C8B"/>
    <w:rsid w:val="003C04C5"/>
    <w:rsid w:val="003C19AD"/>
    <w:rsid w:val="003C4F07"/>
    <w:rsid w:val="004263F9"/>
    <w:rsid w:val="004413A8"/>
    <w:rsid w:val="0045032E"/>
    <w:rsid w:val="00452526"/>
    <w:rsid w:val="00472958"/>
    <w:rsid w:val="00483F7E"/>
    <w:rsid w:val="00487D02"/>
    <w:rsid w:val="00496AD7"/>
    <w:rsid w:val="004A575D"/>
    <w:rsid w:val="004A7DE0"/>
    <w:rsid w:val="004B013A"/>
    <w:rsid w:val="004B2E92"/>
    <w:rsid w:val="004C2D39"/>
    <w:rsid w:val="004D5F06"/>
    <w:rsid w:val="004E459A"/>
    <w:rsid w:val="004F421A"/>
    <w:rsid w:val="004F7C12"/>
    <w:rsid w:val="005025DE"/>
    <w:rsid w:val="00504FDB"/>
    <w:rsid w:val="005050B7"/>
    <w:rsid w:val="00506E0A"/>
    <w:rsid w:val="0052151F"/>
    <w:rsid w:val="00531742"/>
    <w:rsid w:val="00536044"/>
    <w:rsid w:val="00547E6F"/>
    <w:rsid w:val="005523A8"/>
    <w:rsid w:val="00564CEC"/>
    <w:rsid w:val="005816DD"/>
    <w:rsid w:val="00584E27"/>
    <w:rsid w:val="005912AB"/>
    <w:rsid w:val="00593892"/>
    <w:rsid w:val="00593921"/>
    <w:rsid w:val="00593BD3"/>
    <w:rsid w:val="005E319A"/>
    <w:rsid w:val="005E65FB"/>
    <w:rsid w:val="00613F91"/>
    <w:rsid w:val="00622428"/>
    <w:rsid w:val="00634036"/>
    <w:rsid w:val="0063435B"/>
    <w:rsid w:val="00635F6B"/>
    <w:rsid w:val="00644C15"/>
    <w:rsid w:val="006475F4"/>
    <w:rsid w:val="00653C45"/>
    <w:rsid w:val="00665B8A"/>
    <w:rsid w:val="006733F3"/>
    <w:rsid w:val="00674D7D"/>
    <w:rsid w:val="0069739A"/>
    <w:rsid w:val="006B4268"/>
    <w:rsid w:val="006D32CB"/>
    <w:rsid w:val="006D5A8E"/>
    <w:rsid w:val="00702444"/>
    <w:rsid w:val="00725807"/>
    <w:rsid w:val="00737B15"/>
    <w:rsid w:val="0074764F"/>
    <w:rsid w:val="0075007A"/>
    <w:rsid w:val="0076181C"/>
    <w:rsid w:val="0076208D"/>
    <w:rsid w:val="00783FCD"/>
    <w:rsid w:val="007964E4"/>
    <w:rsid w:val="007B235C"/>
    <w:rsid w:val="007B23E2"/>
    <w:rsid w:val="007B7471"/>
    <w:rsid w:val="007C6AA8"/>
    <w:rsid w:val="007D76BA"/>
    <w:rsid w:val="007E14E1"/>
    <w:rsid w:val="007E64B2"/>
    <w:rsid w:val="007F7B83"/>
    <w:rsid w:val="008156F9"/>
    <w:rsid w:val="00857023"/>
    <w:rsid w:val="008618D5"/>
    <w:rsid w:val="00863805"/>
    <w:rsid w:val="008659F1"/>
    <w:rsid w:val="00866780"/>
    <w:rsid w:val="00867A2A"/>
    <w:rsid w:val="00870174"/>
    <w:rsid w:val="00871FD9"/>
    <w:rsid w:val="00891A78"/>
    <w:rsid w:val="008A2130"/>
    <w:rsid w:val="008A3DFB"/>
    <w:rsid w:val="008A4EF8"/>
    <w:rsid w:val="008B553F"/>
    <w:rsid w:val="008C1158"/>
    <w:rsid w:val="008C7D49"/>
    <w:rsid w:val="008D6218"/>
    <w:rsid w:val="008E48C1"/>
    <w:rsid w:val="008F6B20"/>
    <w:rsid w:val="0090212D"/>
    <w:rsid w:val="009047AF"/>
    <w:rsid w:val="00912F19"/>
    <w:rsid w:val="00913708"/>
    <w:rsid w:val="00941144"/>
    <w:rsid w:val="00944E3A"/>
    <w:rsid w:val="009466DB"/>
    <w:rsid w:val="009534B5"/>
    <w:rsid w:val="0097466B"/>
    <w:rsid w:val="009962D1"/>
    <w:rsid w:val="009A408C"/>
    <w:rsid w:val="009A5606"/>
    <w:rsid w:val="009C1E21"/>
    <w:rsid w:val="009C494B"/>
    <w:rsid w:val="009C600A"/>
    <w:rsid w:val="009D1AA2"/>
    <w:rsid w:val="009E57F2"/>
    <w:rsid w:val="009F7368"/>
    <w:rsid w:val="00A00097"/>
    <w:rsid w:val="00A016D2"/>
    <w:rsid w:val="00A02CE4"/>
    <w:rsid w:val="00A04A14"/>
    <w:rsid w:val="00A450A7"/>
    <w:rsid w:val="00A67336"/>
    <w:rsid w:val="00A677D0"/>
    <w:rsid w:val="00A77DB7"/>
    <w:rsid w:val="00A84421"/>
    <w:rsid w:val="00A85264"/>
    <w:rsid w:val="00AA3C9E"/>
    <w:rsid w:val="00AA4D7D"/>
    <w:rsid w:val="00AC5F8D"/>
    <w:rsid w:val="00AD146F"/>
    <w:rsid w:val="00AD669C"/>
    <w:rsid w:val="00AF2AC4"/>
    <w:rsid w:val="00B04E4E"/>
    <w:rsid w:val="00B12D64"/>
    <w:rsid w:val="00B16398"/>
    <w:rsid w:val="00B25CB2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D5993"/>
    <w:rsid w:val="00BE7819"/>
    <w:rsid w:val="00BF7F9E"/>
    <w:rsid w:val="00C050B5"/>
    <w:rsid w:val="00C064CC"/>
    <w:rsid w:val="00C136B4"/>
    <w:rsid w:val="00C177C7"/>
    <w:rsid w:val="00C26D5D"/>
    <w:rsid w:val="00C44E1E"/>
    <w:rsid w:val="00C46E79"/>
    <w:rsid w:val="00C53748"/>
    <w:rsid w:val="00C65109"/>
    <w:rsid w:val="00C77788"/>
    <w:rsid w:val="00C83ED4"/>
    <w:rsid w:val="00C84C5B"/>
    <w:rsid w:val="00C863B1"/>
    <w:rsid w:val="00CB28B2"/>
    <w:rsid w:val="00CB5B36"/>
    <w:rsid w:val="00CC5C42"/>
    <w:rsid w:val="00CD70D0"/>
    <w:rsid w:val="00CF2377"/>
    <w:rsid w:val="00D20F87"/>
    <w:rsid w:val="00D22858"/>
    <w:rsid w:val="00D46AE3"/>
    <w:rsid w:val="00D7352F"/>
    <w:rsid w:val="00D90212"/>
    <w:rsid w:val="00DB007B"/>
    <w:rsid w:val="00DC0C6A"/>
    <w:rsid w:val="00DC0C78"/>
    <w:rsid w:val="00DC30FF"/>
    <w:rsid w:val="00DF08C6"/>
    <w:rsid w:val="00DF1E5B"/>
    <w:rsid w:val="00DF78C1"/>
    <w:rsid w:val="00E07925"/>
    <w:rsid w:val="00E2210C"/>
    <w:rsid w:val="00E2448C"/>
    <w:rsid w:val="00E30176"/>
    <w:rsid w:val="00E309E3"/>
    <w:rsid w:val="00E36DCB"/>
    <w:rsid w:val="00E613A7"/>
    <w:rsid w:val="00E62C1D"/>
    <w:rsid w:val="00E66539"/>
    <w:rsid w:val="00E874C4"/>
    <w:rsid w:val="00E96AB7"/>
    <w:rsid w:val="00EA79FE"/>
    <w:rsid w:val="00EB72AF"/>
    <w:rsid w:val="00ED2CB7"/>
    <w:rsid w:val="00EF2056"/>
    <w:rsid w:val="00EF21AB"/>
    <w:rsid w:val="00F062FB"/>
    <w:rsid w:val="00F0670A"/>
    <w:rsid w:val="00F15B70"/>
    <w:rsid w:val="00F325B0"/>
    <w:rsid w:val="00F42618"/>
    <w:rsid w:val="00F51305"/>
    <w:rsid w:val="00F5496E"/>
    <w:rsid w:val="00F54B50"/>
    <w:rsid w:val="00F62AAC"/>
    <w:rsid w:val="00F7326D"/>
    <w:rsid w:val="00F77682"/>
    <w:rsid w:val="00F857F7"/>
    <w:rsid w:val="00FB7C66"/>
    <w:rsid w:val="00FD109B"/>
    <w:rsid w:val="00FE0C3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oe.int/en/web/jobs/secondment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5555-4FDA-449E-B724-916A38D0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71</cp:revision>
  <dcterms:created xsi:type="dcterms:W3CDTF">2016-03-09T13:19:00Z</dcterms:created>
  <dcterms:modified xsi:type="dcterms:W3CDTF">2017-10-11T11:02:00Z</dcterms:modified>
</cp:coreProperties>
</file>